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2F63F" w14:textId="77777777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r w:rsidRPr="0038689E">
        <w:rPr>
          <w:rFonts w:ascii="Times New Roman" w:eastAsia="Calibri" w:hAnsi="Times New Roman" w:cs="Times New Roman"/>
          <w:b/>
          <w:sz w:val="20"/>
          <w:szCs w:val="20"/>
        </w:rPr>
        <w:t>&lt;DATE&gt;</w:t>
      </w:r>
    </w:p>
    <w:bookmarkEnd w:id="0"/>
    <w:p w14:paraId="1BDDCF51" w14:textId="77777777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8689E">
        <w:rPr>
          <w:rFonts w:ascii="Times New Roman" w:eastAsia="Calibri" w:hAnsi="Times New Roman" w:cs="Times New Roman"/>
          <w:b/>
          <w:sz w:val="20"/>
          <w:szCs w:val="20"/>
        </w:rPr>
        <w:t>PERSONAL &amp; CONFIDENTIAL</w:t>
      </w:r>
    </w:p>
    <w:p w14:paraId="276716CA" w14:textId="77777777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8689E">
        <w:rPr>
          <w:rFonts w:ascii="Times New Roman" w:eastAsia="Calibri" w:hAnsi="Times New Roman" w:cs="Times New Roman"/>
          <w:b/>
          <w:sz w:val="20"/>
          <w:szCs w:val="20"/>
        </w:rPr>
        <w:t>&lt;NAME&gt;</w:t>
      </w:r>
    </w:p>
    <w:p w14:paraId="38E21E59" w14:textId="77777777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8689E">
        <w:rPr>
          <w:rFonts w:ascii="Times New Roman" w:eastAsia="Calibri" w:hAnsi="Times New Roman" w:cs="Times New Roman"/>
          <w:b/>
          <w:sz w:val="20"/>
          <w:szCs w:val="20"/>
        </w:rPr>
        <w:t>&lt;ADDRESS&gt;</w:t>
      </w:r>
    </w:p>
    <w:p w14:paraId="55B30370" w14:textId="548A4DB7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F97C7FD" w14:textId="3F36A0FA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Dear </w:t>
      </w:r>
      <w:r w:rsidRPr="0038689E">
        <w:rPr>
          <w:rFonts w:ascii="Times New Roman" w:eastAsia="Calibri" w:hAnsi="Times New Roman" w:cs="Times New Roman"/>
          <w:sz w:val="20"/>
          <w:szCs w:val="20"/>
          <w:highlight w:val="lightGray"/>
        </w:rPr>
        <w:t>&lt;NAME&gt;:</w:t>
      </w:r>
    </w:p>
    <w:p w14:paraId="4B560C21" w14:textId="6B77528A" w:rsidR="004A0D53" w:rsidRPr="0038689E" w:rsidRDefault="003361F6" w:rsidP="0038689E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8689E">
        <w:rPr>
          <w:rFonts w:ascii="Times New Roman" w:eastAsia="Calibri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356A7" wp14:editId="3BA8799E">
                <wp:simplePos x="0" y="0"/>
                <wp:positionH relativeFrom="margin">
                  <wp:posOffset>10160</wp:posOffset>
                </wp:positionH>
                <wp:positionV relativeFrom="paragraph">
                  <wp:posOffset>277495</wp:posOffset>
                </wp:positionV>
                <wp:extent cx="5934075" cy="514985"/>
                <wp:effectExtent l="0" t="0" r="9525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33783" w14:textId="2EFF1D1C" w:rsidR="00EA7D43" w:rsidRPr="006E4B92" w:rsidRDefault="00EA7D43" w:rsidP="00D940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E4B92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D15484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Options Appendix Document</w:t>
                            </w:r>
                            <w:r w:rsidR="004A0D53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for O</w:t>
                            </w:r>
                            <w:r w:rsidRPr="006E4B92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ening Statement/Appointment Text for various ranks: </w:t>
                            </w:r>
                            <w:r w:rsidRPr="006E4B92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Special Category, Associate Member Appointment and University Tenure Committee for Recruitment (UTCR)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356A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8pt;margin-top:21.85pt;width:467.25pt;height:4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gxIgIAAB0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" stroked="f">
                <v:textbox>
                  <w:txbxContent>
                    <w:p w14:paraId="68133783" w14:textId="2EFF1D1C" w:rsidR="00EA7D43" w:rsidRPr="006E4B92" w:rsidRDefault="00EA7D43" w:rsidP="00D940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E4B92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See </w:t>
                      </w:r>
                      <w:r w:rsidR="00D15484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Options Appendix Document</w:t>
                      </w:r>
                      <w:r w:rsidR="004A0D53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for O</w:t>
                      </w:r>
                      <w:r w:rsidRPr="006E4B92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ening Statement/Appointment Text for various ranks: </w:t>
                      </w:r>
                      <w:r w:rsidRPr="006E4B92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Special Category, Associate Member Appointment and University Tenure Committee for Recruitment (UTCR)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73270C" w14:textId="4AD731F9" w:rsidR="003361F6" w:rsidRPr="0038689E" w:rsidRDefault="003361F6" w:rsidP="003361F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8689E">
        <w:rPr>
          <w:rFonts w:ascii="Times New Roman" w:eastAsia="Calibri" w:hAnsi="Times New Roman" w:cs="Times New Roman"/>
          <w:b/>
          <w:sz w:val="20"/>
          <w:szCs w:val="20"/>
        </w:rPr>
        <w:t>COMPENSATION</w:t>
      </w:r>
    </w:p>
    <w:p w14:paraId="6EE3F028" w14:textId="774DCF3D" w:rsidR="003361F6" w:rsidRPr="0038689E" w:rsidRDefault="003361F6" w:rsidP="007B4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The starting annual salary for this appointment will be $ </w:t>
      </w:r>
      <w:r w:rsidRPr="0038689E">
        <w:rPr>
          <w:rFonts w:ascii="Times New Roman" w:eastAsia="Calibri" w:hAnsi="Times New Roman" w:cs="Times New Roman"/>
          <w:sz w:val="20"/>
          <w:szCs w:val="20"/>
          <w:highlight w:val="lightGray"/>
        </w:rPr>
        <w:t>&lt;SALARY&gt;.</w:t>
      </w: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 This is your base professorial salary, which is subject to any increments applied by the University in accordance with the University Salary Policy. </w:t>
      </w:r>
    </w:p>
    <w:p w14:paraId="2CF46CCA" w14:textId="57D9B35F" w:rsidR="001D3489" w:rsidRPr="0038689E" w:rsidRDefault="003361F6" w:rsidP="007B44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55C33447" wp14:editId="3CB96FCB">
                <wp:extent cx="5886450" cy="314325"/>
                <wp:effectExtent l="0" t="0" r="0" b="952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03BFA" w14:textId="37D99B53" w:rsidR="00EA7D43" w:rsidRPr="006E4B92" w:rsidRDefault="00EA7D43" w:rsidP="0033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457EDE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Options </w:t>
                            </w:r>
                            <w:r w:rsidR="00D15484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Appendix </w:t>
                            </w:r>
                            <w:r w:rsidR="00457EDE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Document</w:t>
                            </w:r>
                            <w:r w:rsidR="00DF710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B92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Stipend</w:t>
                            </w:r>
                            <w:r w:rsidR="00DF710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(reference on page 1 of this template document)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C33447" id="Text Box 2" o:spid="_x0000_s1027" type="#_x0000_t202" style="width:463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" stroked="f">
                <v:textbox>
                  <w:txbxContent>
                    <w:p w14:paraId="26103BFA" w14:textId="37D99B53" w:rsidR="00EA7D43" w:rsidRPr="006E4B92" w:rsidRDefault="00EA7D43" w:rsidP="0033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See </w:t>
                      </w:r>
                      <w:r w:rsidR="00457EDE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Options </w:t>
                      </w:r>
                      <w:r w:rsidR="00D15484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Appendix </w:t>
                      </w:r>
                      <w:r w:rsidR="00457EDE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Document</w:t>
                      </w:r>
                      <w:r w:rsidR="00DF710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6E4B92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Stipend</w:t>
                      </w:r>
                      <w:r w:rsidR="00DF710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(reference on page 1 of this template document)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BD0E42" w14:textId="77777777" w:rsidR="003361F6" w:rsidRPr="0038689E" w:rsidRDefault="003361F6" w:rsidP="007B441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7FE5920" w14:textId="77777777" w:rsidR="00D0750E" w:rsidRPr="0038689E" w:rsidRDefault="00D75FA3" w:rsidP="007B441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8689E">
        <w:rPr>
          <w:rFonts w:ascii="Times New Roman" w:eastAsia="Calibri" w:hAnsi="Times New Roman" w:cs="Times New Roman"/>
          <w:b/>
          <w:sz w:val="20"/>
          <w:szCs w:val="20"/>
        </w:rPr>
        <w:t xml:space="preserve">IMMIGRATION </w:t>
      </w:r>
    </w:p>
    <w:p w14:paraId="5A791D59" w14:textId="77777777" w:rsidR="003361F6" w:rsidRPr="0038689E" w:rsidRDefault="001D3489" w:rsidP="007B441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8689E">
        <w:rPr>
          <w:rFonts w:ascii="Times New Roman" w:eastAsia="Calibri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31E36CF3" wp14:editId="7CD781E9">
                <wp:extent cx="5886450" cy="314325"/>
                <wp:effectExtent l="0" t="0" r="0" b="952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2EFA0" w14:textId="6CB82993" w:rsidR="00EA7D43" w:rsidRPr="006E4B92" w:rsidRDefault="00EA7D43" w:rsidP="00D75F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D15484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Options Appendix Document </w:t>
                            </w:r>
                            <w:r w:rsidRPr="006E4B92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B42ACF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Immigration</w:t>
                            </w:r>
                            <w:r w:rsidR="00DF710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(reference on page 1 of this template document)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36CF3" id="_x0000_s1028" type="#_x0000_t202" style="width:463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" stroked="f">
                <v:textbox>
                  <w:txbxContent>
                    <w:p w14:paraId="3D12EFA0" w14:textId="6CB82993" w:rsidR="00EA7D43" w:rsidRPr="006E4B92" w:rsidRDefault="00EA7D43" w:rsidP="00D75F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See </w:t>
                      </w:r>
                      <w:r w:rsidR="00D15484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Options Appendix Document </w:t>
                      </w:r>
                      <w:r w:rsidRPr="006E4B92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for </w:t>
                      </w:r>
                      <w:r w:rsidRPr="00B42ACF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Immigration</w:t>
                      </w:r>
                      <w:r w:rsidR="00DF710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(reference on page 1 of this template document)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B928E7" w14:textId="77777777" w:rsidR="00D940E3" w:rsidRPr="0038689E" w:rsidRDefault="00D940E3" w:rsidP="00EE28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5A218EF" w14:textId="77777777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8689E">
        <w:rPr>
          <w:rFonts w:ascii="Times New Roman" w:eastAsia="Calibri" w:hAnsi="Times New Roman" w:cs="Times New Roman"/>
          <w:b/>
          <w:sz w:val="20"/>
          <w:szCs w:val="20"/>
        </w:rPr>
        <w:t>ACADEMIC DUTIES</w:t>
      </w:r>
    </w:p>
    <w:p w14:paraId="1879FCC2" w14:textId="293B558C" w:rsidR="0009327D" w:rsidRPr="0038689E" w:rsidRDefault="00E5630B" w:rsidP="00E563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689E">
        <w:rPr>
          <w:rFonts w:ascii="Times New Roman" w:hAnsi="Times New Roman" w:cs="Times New Roman"/>
          <w:sz w:val="20"/>
          <w:szCs w:val="20"/>
        </w:rPr>
        <w:t xml:space="preserve">Your primary </w:t>
      </w:r>
      <w:r w:rsidR="0009327D" w:rsidRPr="0038689E">
        <w:rPr>
          <w:rFonts w:ascii="Times New Roman" w:hAnsi="Times New Roman" w:cs="Times New Roman"/>
          <w:sz w:val="20"/>
          <w:szCs w:val="20"/>
        </w:rPr>
        <w:t xml:space="preserve">academic </w:t>
      </w:r>
      <w:r w:rsidRPr="0038689E">
        <w:rPr>
          <w:rFonts w:ascii="Times New Roman" w:hAnsi="Times New Roman" w:cs="Times New Roman"/>
          <w:sz w:val="20"/>
          <w:szCs w:val="20"/>
        </w:rPr>
        <w:t xml:space="preserve">duties </w:t>
      </w:r>
      <w:r w:rsidR="0009327D" w:rsidRPr="0038689E">
        <w:rPr>
          <w:rFonts w:ascii="Times New Roman" w:hAnsi="Times New Roman" w:cs="Times New Roman"/>
          <w:sz w:val="20"/>
          <w:szCs w:val="20"/>
        </w:rPr>
        <w:t>consist of</w:t>
      </w:r>
      <w:r w:rsidR="00EA7D43" w:rsidRPr="0038689E">
        <w:rPr>
          <w:rFonts w:ascii="Times New Roman" w:hAnsi="Times New Roman" w:cs="Times New Roman"/>
          <w:sz w:val="20"/>
          <w:szCs w:val="20"/>
        </w:rPr>
        <w:t>:</w:t>
      </w:r>
      <w:r w:rsidR="0009327D" w:rsidRPr="0038689E">
        <w:rPr>
          <w:rFonts w:ascii="Times New Roman" w:hAnsi="Times New Roman" w:cs="Times New Roman"/>
          <w:sz w:val="20"/>
          <w:szCs w:val="20"/>
        </w:rPr>
        <w:t xml:space="preserve"> teaching</w:t>
      </w:r>
      <w:r w:rsidR="00EA7D43" w:rsidRPr="0038689E">
        <w:rPr>
          <w:rFonts w:ascii="Times New Roman" w:hAnsi="Times New Roman" w:cs="Times New Roman"/>
          <w:sz w:val="20"/>
          <w:szCs w:val="20"/>
        </w:rPr>
        <w:t>;</w:t>
      </w:r>
      <w:r w:rsidR="0009327D" w:rsidRPr="0038689E">
        <w:rPr>
          <w:rFonts w:ascii="Times New Roman" w:hAnsi="Times New Roman" w:cs="Times New Roman"/>
          <w:sz w:val="20"/>
          <w:szCs w:val="20"/>
        </w:rPr>
        <w:t xml:space="preserve"> research and other scholarly and professional activities</w:t>
      </w:r>
      <w:r w:rsidR="00EA7D43" w:rsidRPr="0038689E">
        <w:rPr>
          <w:rFonts w:ascii="Times New Roman" w:hAnsi="Times New Roman" w:cs="Times New Roman"/>
          <w:sz w:val="20"/>
          <w:szCs w:val="20"/>
        </w:rPr>
        <w:t>;</w:t>
      </w:r>
      <w:r w:rsidR="0009327D" w:rsidRPr="0038689E">
        <w:rPr>
          <w:rFonts w:ascii="Times New Roman" w:hAnsi="Times New Roman" w:cs="Times New Roman"/>
          <w:sz w:val="20"/>
          <w:szCs w:val="20"/>
        </w:rPr>
        <w:t xml:space="preserve"> and service contributions to the University and scholarly communities. The eventual renewal of your appointment and tenure </w:t>
      </w:r>
      <w:r w:rsidR="00EA7D43" w:rsidRPr="0038689E">
        <w:rPr>
          <w:rFonts w:ascii="Times New Roman" w:hAnsi="Times New Roman" w:cs="Times New Roman"/>
          <w:sz w:val="20"/>
          <w:szCs w:val="20"/>
        </w:rPr>
        <w:t xml:space="preserve">will </w:t>
      </w:r>
      <w:r w:rsidR="0009327D" w:rsidRPr="0038689E">
        <w:rPr>
          <w:rFonts w:ascii="Times New Roman" w:hAnsi="Times New Roman" w:cs="Times New Roman"/>
          <w:sz w:val="20"/>
          <w:szCs w:val="20"/>
        </w:rPr>
        <w:t>depend on your effective fulfillment of these duties.</w:t>
      </w:r>
    </w:p>
    <w:p w14:paraId="4C9366F4" w14:textId="77777777" w:rsidR="0009327D" w:rsidRPr="0038689E" w:rsidRDefault="0009327D" w:rsidP="00E563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FC3298" w14:textId="452DBC2A" w:rsidR="007B4419" w:rsidRPr="0038689E" w:rsidRDefault="0009327D" w:rsidP="004726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689E">
        <w:rPr>
          <w:rFonts w:ascii="Times New Roman" w:hAnsi="Times New Roman" w:cs="Times New Roman"/>
          <w:sz w:val="20"/>
          <w:szCs w:val="20"/>
        </w:rPr>
        <w:t xml:space="preserve">With regard to teaching, </w:t>
      </w:r>
      <w:r w:rsidR="004726F3" w:rsidRPr="0038689E">
        <w:rPr>
          <w:rFonts w:ascii="Times New Roman" w:hAnsi="Times New Roman" w:cs="Times New Roman"/>
          <w:sz w:val="20"/>
          <w:szCs w:val="20"/>
        </w:rPr>
        <w:t xml:space="preserve">you will be required to participate in classroom </w:t>
      </w:r>
      <w:r w:rsidR="008D783D" w:rsidRPr="0038689E">
        <w:rPr>
          <w:rFonts w:ascii="Times New Roman" w:hAnsi="Times New Roman" w:cs="Times New Roman"/>
          <w:sz w:val="20"/>
          <w:szCs w:val="20"/>
        </w:rPr>
        <w:t xml:space="preserve">instruction </w:t>
      </w:r>
      <w:r w:rsidRPr="0038689E">
        <w:rPr>
          <w:rFonts w:ascii="Times New Roman" w:hAnsi="Times New Roman" w:cs="Times New Roman"/>
          <w:sz w:val="20"/>
          <w:szCs w:val="20"/>
        </w:rPr>
        <w:t xml:space="preserve">and student supervision </w:t>
      </w:r>
      <w:r w:rsidR="004726F3" w:rsidRPr="0038689E">
        <w:rPr>
          <w:rFonts w:ascii="Times New Roman" w:hAnsi="Times New Roman" w:cs="Times New Roman"/>
          <w:sz w:val="20"/>
          <w:szCs w:val="20"/>
        </w:rPr>
        <w:t xml:space="preserve">within the guidelines of </w:t>
      </w:r>
      <w:r w:rsidR="00EA7D43" w:rsidRPr="0038689E">
        <w:rPr>
          <w:rFonts w:ascii="Times New Roman" w:hAnsi="Times New Roman" w:cs="Times New Roman"/>
          <w:sz w:val="20"/>
          <w:szCs w:val="20"/>
        </w:rPr>
        <w:t xml:space="preserve">your </w:t>
      </w:r>
      <w:r w:rsidR="004726F3" w:rsidRPr="0038689E">
        <w:rPr>
          <w:rFonts w:ascii="Times New Roman" w:hAnsi="Times New Roman" w:cs="Times New Roman"/>
          <w:sz w:val="20"/>
          <w:szCs w:val="20"/>
        </w:rPr>
        <w:t xml:space="preserve">Department. You </w:t>
      </w:r>
      <w:r w:rsidR="00EA7D43" w:rsidRPr="0038689E">
        <w:rPr>
          <w:rFonts w:ascii="Times New Roman" w:hAnsi="Times New Roman" w:cs="Times New Roman"/>
          <w:sz w:val="20"/>
          <w:szCs w:val="20"/>
        </w:rPr>
        <w:t xml:space="preserve">are expected </w:t>
      </w:r>
      <w:r w:rsidR="004726F3" w:rsidRPr="0038689E">
        <w:rPr>
          <w:rFonts w:ascii="Times New Roman" w:hAnsi="Times New Roman" w:cs="Times New Roman"/>
          <w:sz w:val="20"/>
          <w:szCs w:val="20"/>
        </w:rPr>
        <w:t>to</w:t>
      </w:r>
      <w:r w:rsidRPr="0038689E">
        <w:rPr>
          <w:rFonts w:ascii="Times New Roman" w:hAnsi="Times New Roman" w:cs="Times New Roman"/>
          <w:sz w:val="20"/>
          <w:szCs w:val="20"/>
        </w:rPr>
        <w:t xml:space="preserve"> develop a teaching program and</w:t>
      </w:r>
      <w:r w:rsidR="004726F3" w:rsidRPr="0038689E">
        <w:rPr>
          <w:rFonts w:ascii="Times New Roman" w:hAnsi="Times New Roman" w:cs="Times New Roman"/>
          <w:sz w:val="20"/>
          <w:szCs w:val="20"/>
        </w:rPr>
        <w:t xml:space="preserve"> maintain a teaching dossier</w:t>
      </w:r>
      <w:r w:rsidR="00CA7254" w:rsidRPr="0038689E">
        <w:rPr>
          <w:rFonts w:ascii="Times New Roman" w:hAnsi="Times New Roman" w:cs="Times New Roman"/>
          <w:sz w:val="20"/>
          <w:szCs w:val="20"/>
        </w:rPr>
        <w:t xml:space="preserve"> that includes student evaluations.</w:t>
      </w:r>
      <w:r w:rsidR="004726F3" w:rsidRPr="003868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4DB255" w14:textId="77777777" w:rsidR="003361F6" w:rsidRPr="0038689E" w:rsidRDefault="003361F6" w:rsidP="004726F3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152DE237" w14:textId="77777777" w:rsidR="004726F3" w:rsidRPr="0038689E" w:rsidRDefault="00D940E3" w:rsidP="004726F3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8689E">
        <w:rPr>
          <w:rFonts w:ascii="Times New Roman" w:hAnsi="Times New Roman" w:cs="Times New Roman"/>
          <w:i/>
          <w:color w:val="FF0000"/>
          <w:sz w:val="20"/>
          <w:szCs w:val="20"/>
        </w:rPr>
        <w:t>Insert any specific teaching requirements if known.</w:t>
      </w:r>
    </w:p>
    <w:p w14:paraId="53F605EA" w14:textId="77777777" w:rsidR="003361F6" w:rsidRPr="0038689E" w:rsidRDefault="003361F6" w:rsidP="004726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4C0829" w14:textId="28BBA3F7" w:rsidR="00D940E3" w:rsidRPr="0038689E" w:rsidRDefault="0009327D" w:rsidP="004726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689E">
        <w:rPr>
          <w:rFonts w:ascii="Times New Roman" w:hAnsi="Times New Roman" w:cs="Times New Roman"/>
          <w:sz w:val="20"/>
          <w:szCs w:val="20"/>
        </w:rPr>
        <w:t>Please note that McGill</w:t>
      </w:r>
      <w:r w:rsidR="00482318" w:rsidRPr="0038689E">
        <w:rPr>
          <w:rFonts w:ascii="Times New Roman" w:hAnsi="Times New Roman" w:cs="Times New Roman"/>
          <w:sz w:val="20"/>
          <w:szCs w:val="20"/>
        </w:rPr>
        <w:t>’s</w:t>
      </w:r>
      <w:r w:rsidRPr="0038689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361F6" w:rsidRPr="0038689E">
        <w:rPr>
          <w:rFonts w:ascii="Times New Roman" w:hAnsi="Times New Roman" w:cs="Times New Roman"/>
          <w:sz w:val="20"/>
          <w:szCs w:val="20"/>
        </w:rPr>
        <w:t>Teaching</w:t>
      </w:r>
      <w:proofErr w:type="gramEnd"/>
      <w:r w:rsidR="003361F6" w:rsidRPr="0038689E">
        <w:rPr>
          <w:rFonts w:ascii="Times New Roman" w:hAnsi="Times New Roman" w:cs="Times New Roman"/>
          <w:sz w:val="20"/>
          <w:szCs w:val="20"/>
        </w:rPr>
        <w:t xml:space="preserve"> and Learning Services (TLS) provide</w:t>
      </w:r>
      <w:r w:rsidR="00EF7464" w:rsidRPr="0038689E">
        <w:rPr>
          <w:rFonts w:ascii="Times New Roman" w:hAnsi="Times New Roman" w:cs="Times New Roman"/>
          <w:sz w:val="20"/>
          <w:szCs w:val="20"/>
        </w:rPr>
        <w:t>s</w:t>
      </w:r>
      <w:r w:rsidR="003361F6" w:rsidRPr="0038689E">
        <w:rPr>
          <w:rFonts w:ascii="Times New Roman" w:hAnsi="Times New Roman" w:cs="Times New Roman"/>
          <w:sz w:val="20"/>
          <w:szCs w:val="20"/>
        </w:rPr>
        <w:t xml:space="preserve"> leadership and support for </w:t>
      </w:r>
      <w:r w:rsidRPr="0038689E">
        <w:rPr>
          <w:rFonts w:ascii="Times New Roman" w:hAnsi="Times New Roman" w:cs="Times New Roman"/>
          <w:sz w:val="20"/>
          <w:szCs w:val="20"/>
        </w:rPr>
        <w:t xml:space="preserve">faculty </w:t>
      </w:r>
      <w:r w:rsidR="008D783D" w:rsidRPr="0038689E">
        <w:rPr>
          <w:rFonts w:ascii="Times New Roman" w:hAnsi="Times New Roman" w:cs="Times New Roman"/>
          <w:sz w:val="20"/>
          <w:szCs w:val="20"/>
        </w:rPr>
        <w:t>with a view to</w:t>
      </w:r>
      <w:r w:rsidRPr="0038689E">
        <w:rPr>
          <w:rFonts w:ascii="Times New Roman" w:hAnsi="Times New Roman" w:cs="Times New Roman"/>
          <w:sz w:val="20"/>
          <w:szCs w:val="20"/>
        </w:rPr>
        <w:t xml:space="preserve"> developing teaching skills and competencies.</w:t>
      </w:r>
      <w:r w:rsidR="00CA7254" w:rsidRPr="0038689E">
        <w:rPr>
          <w:rFonts w:ascii="Times New Roman" w:hAnsi="Times New Roman" w:cs="Times New Roman"/>
          <w:sz w:val="20"/>
          <w:szCs w:val="20"/>
        </w:rPr>
        <w:t xml:space="preserve"> </w:t>
      </w:r>
      <w:r w:rsidR="00482318" w:rsidRPr="0038689E">
        <w:rPr>
          <w:rFonts w:ascii="Times New Roman" w:hAnsi="Times New Roman" w:cs="Times New Roman"/>
          <w:sz w:val="20"/>
          <w:szCs w:val="20"/>
        </w:rPr>
        <w:t>Please visit the</w:t>
      </w:r>
      <w:r w:rsidR="0038689E">
        <w:rPr>
          <w:rFonts w:ascii="Times New Roman" w:hAnsi="Times New Roman" w:cs="Times New Roman"/>
          <w:sz w:val="20"/>
          <w:szCs w:val="20"/>
        </w:rPr>
        <w:t>ir</w:t>
      </w:r>
      <w:r w:rsidR="00482318" w:rsidRPr="0038689E">
        <w:rPr>
          <w:rFonts w:ascii="Times New Roman" w:hAnsi="Times New Roman" w:cs="Times New Roman"/>
          <w:sz w:val="20"/>
          <w:szCs w:val="20"/>
        </w:rPr>
        <w:t xml:space="preserve"> website at </w:t>
      </w:r>
      <w:hyperlink r:id="rId7" w:history="1">
        <w:r w:rsidR="00482318" w:rsidRPr="0038689E">
          <w:rPr>
            <w:rStyle w:val="Hyperlink"/>
            <w:rFonts w:ascii="Times New Roman" w:hAnsi="Times New Roman" w:cs="Times New Roman"/>
            <w:sz w:val="20"/>
            <w:szCs w:val="20"/>
          </w:rPr>
          <w:t>http://www.mcgill.ca/tls/</w:t>
        </w:r>
      </w:hyperlink>
    </w:p>
    <w:p w14:paraId="7B604F1B" w14:textId="77777777" w:rsidR="003361F6" w:rsidRPr="0038689E" w:rsidRDefault="003361F6" w:rsidP="004726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E1DEDE" w14:textId="418E019D" w:rsidR="004726F3" w:rsidRPr="0038689E" w:rsidRDefault="0009327D" w:rsidP="000932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689E">
        <w:rPr>
          <w:rFonts w:ascii="Times New Roman" w:hAnsi="Times New Roman" w:cs="Times New Roman"/>
          <w:sz w:val="20"/>
          <w:szCs w:val="20"/>
        </w:rPr>
        <w:t>As regards research, you are expected to initiate a successful scholarly career as evidenced by publications, presentations and s</w:t>
      </w:r>
      <w:r w:rsidR="004726F3" w:rsidRPr="0038689E">
        <w:rPr>
          <w:rFonts w:ascii="Times New Roman" w:hAnsi="Times New Roman" w:cs="Times New Roman"/>
          <w:sz w:val="20"/>
          <w:szCs w:val="20"/>
        </w:rPr>
        <w:t>uccess in obtaining external funding.</w:t>
      </w:r>
      <w:r w:rsidRPr="0038689E">
        <w:rPr>
          <w:rFonts w:ascii="Times New Roman" w:hAnsi="Times New Roman" w:cs="Times New Roman"/>
          <w:sz w:val="20"/>
          <w:szCs w:val="20"/>
        </w:rPr>
        <w:t xml:space="preserve"> </w:t>
      </w:r>
      <w:r w:rsidR="008D783D" w:rsidRPr="0038689E">
        <w:rPr>
          <w:rFonts w:ascii="Times New Roman" w:hAnsi="Times New Roman" w:cs="Times New Roman"/>
          <w:sz w:val="20"/>
          <w:szCs w:val="20"/>
        </w:rPr>
        <w:t>I</w:t>
      </w:r>
      <w:r w:rsidRPr="0038689E">
        <w:rPr>
          <w:rFonts w:ascii="Times New Roman" w:hAnsi="Times New Roman" w:cs="Times New Roman"/>
          <w:sz w:val="20"/>
          <w:szCs w:val="20"/>
        </w:rPr>
        <w:t>nformation, services and support pertinent to research funding can be obtained from McGill’s Office of Sponsored Res</w:t>
      </w:r>
      <w:r w:rsidR="00EA7D43" w:rsidRPr="0038689E">
        <w:rPr>
          <w:rFonts w:ascii="Times New Roman" w:hAnsi="Times New Roman" w:cs="Times New Roman"/>
          <w:sz w:val="20"/>
          <w:szCs w:val="20"/>
        </w:rPr>
        <w:t>ea</w:t>
      </w:r>
      <w:r w:rsidRPr="0038689E">
        <w:rPr>
          <w:rFonts w:ascii="Times New Roman" w:hAnsi="Times New Roman" w:cs="Times New Roman"/>
          <w:sz w:val="20"/>
          <w:szCs w:val="20"/>
        </w:rPr>
        <w:t>rch (OSR)</w:t>
      </w:r>
      <w:r w:rsidR="00482318" w:rsidRPr="0038689E">
        <w:rPr>
          <w:rFonts w:ascii="Times New Roman" w:hAnsi="Times New Roman" w:cs="Times New Roman"/>
          <w:sz w:val="20"/>
          <w:szCs w:val="20"/>
        </w:rPr>
        <w:t>. Please visit the</w:t>
      </w:r>
      <w:r w:rsidR="0038689E">
        <w:rPr>
          <w:rFonts w:ascii="Times New Roman" w:hAnsi="Times New Roman" w:cs="Times New Roman"/>
          <w:sz w:val="20"/>
          <w:szCs w:val="20"/>
        </w:rPr>
        <w:t>ir</w:t>
      </w:r>
      <w:r w:rsidR="00482318" w:rsidRPr="0038689E">
        <w:rPr>
          <w:rFonts w:ascii="Times New Roman" w:hAnsi="Times New Roman" w:cs="Times New Roman"/>
          <w:sz w:val="20"/>
          <w:szCs w:val="20"/>
        </w:rPr>
        <w:t xml:space="preserve"> website at</w:t>
      </w:r>
      <w:r w:rsidR="00CA7254" w:rsidRPr="0038689E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CA7254" w:rsidRPr="0038689E">
          <w:rPr>
            <w:rStyle w:val="Hyperlink"/>
            <w:rFonts w:ascii="Times New Roman" w:hAnsi="Times New Roman" w:cs="Times New Roman"/>
            <w:sz w:val="20"/>
            <w:szCs w:val="20"/>
          </w:rPr>
          <w:t>https://www.mcgill.ca/research/</w:t>
        </w:r>
      </w:hyperlink>
    </w:p>
    <w:p w14:paraId="0675007F" w14:textId="77777777" w:rsidR="00CA7254" w:rsidRPr="0038689E" w:rsidRDefault="00CA7254" w:rsidP="000932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4DE838" w14:textId="30AC8008" w:rsidR="0009327D" w:rsidRPr="0038689E" w:rsidRDefault="0009327D" w:rsidP="000932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689E">
        <w:rPr>
          <w:rFonts w:ascii="Times New Roman" w:hAnsi="Times New Roman" w:cs="Times New Roman"/>
          <w:sz w:val="20"/>
          <w:szCs w:val="20"/>
        </w:rPr>
        <w:t xml:space="preserve">Finally, all McGill faculty members are expected to </w:t>
      </w:r>
      <w:r w:rsidR="00EA7D43" w:rsidRPr="0038689E">
        <w:rPr>
          <w:rFonts w:ascii="Times New Roman" w:hAnsi="Times New Roman" w:cs="Times New Roman"/>
          <w:sz w:val="20"/>
          <w:szCs w:val="20"/>
        </w:rPr>
        <w:t>contribute to service activities</w:t>
      </w:r>
      <w:r w:rsidRPr="0038689E">
        <w:rPr>
          <w:rFonts w:ascii="Times New Roman" w:hAnsi="Times New Roman" w:cs="Times New Roman"/>
          <w:sz w:val="20"/>
          <w:szCs w:val="20"/>
        </w:rPr>
        <w:t xml:space="preserve"> within their units, the University and the wider scholarly community</w:t>
      </w:r>
      <w:r w:rsidR="00EA7D43" w:rsidRPr="0038689E">
        <w:rPr>
          <w:rFonts w:ascii="Times New Roman" w:hAnsi="Times New Roman" w:cs="Times New Roman"/>
          <w:sz w:val="20"/>
          <w:szCs w:val="20"/>
        </w:rPr>
        <w:t>. Developing a presence and leadership within these service activities will be essential to your success at McGill.</w:t>
      </w:r>
    </w:p>
    <w:p w14:paraId="132FB98D" w14:textId="77777777" w:rsidR="00614736" w:rsidRPr="0038689E" w:rsidRDefault="00614736" w:rsidP="004726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EE13F7" w14:textId="5DAA9239" w:rsidR="004726F3" w:rsidRPr="0038689E" w:rsidRDefault="004726F3" w:rsidP="004726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689E">
        <w:rPr>
          <w:rFonts w:ascii="Times New Roman" w:hAnsi="Times New Roman" w:cs="Times New Roman"/>
          <w:sz w:val="20"/>
          <w:szCs w:val="20"/>
        </w:rPr>
        <w:lastRenderedPageBreak/>
        <w:t xml:space="preserve">As part of our academic performance review process, your performance will be reviewed and </w:t>
      </w:r>
      <w:r w:rsidR="008D783D" w:rsidRPr="0038689E">
        <w:rPr>
          <w:rFonts w:ascii="Times New Roman" w:hAnsi="Times New Roman" w:cs="Times New Roman"/>
          <w:sz w:val="20"/>
          <w:szCs w:val="20"/>
        </w:rPr>
        <w:t xml:space="preserve">you will receive </w:t>
      </w:r>
      <w:r w:rsidRPr="0038689E">
        <w:rPr>
          <w:rFonts w:ascii="Times New Roman" w:hAnsi="Times New Roman" w:cs="Times New Roman"/>
          <w:sz w:val="20"/>
          <w:szCs w:val="20"/>
        </w:rPr>
        <w:t xml:space="preserve">feedback on an annual basis by </w:t>
      </w:r>
      <w:r w:rsidR="008D783D" w:rsidRPr="0038689E">
        <w:rPr>
          <w:rFonts w:ascii="Times New Roman" w:hAnsi="Times New Roman" w:cs="Times New Roman"/>
          <w:sz w:val="20"/>
          <w:szCs w:val="20"/>
        </w:rPr>
        <w:t xml:space="preserve">your </w:t>
      </w:r>
      <w:r w:rsidRPr="0038689E">
        <w:rPr>
          <w:rFonts w:ascii="Times New Roman" w:hAnsi="Times New Roman" w:cs="Times New Roman"/>
          <w:sz w:val="20"/>
          <w:szCs w:val="20"/>
        </w:rPr>
        <w:t>Chair or Chair’s designate.</w:t>
      </w:r>
    </w:p>
    <w:p w14:paraId="06986CE8" w14:textId="77777777" w:rsidR="00CA7254" w:rsidRPr="0038689E" w:rsidRDefault="00CA7254" w:rsidP="004726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96A500" w14:textId="08BFE90D" w:rsidR="00CA7254" w:rsidRPr="0038689E" w:rsidRDefault="00CA7254" w:rsidP="004726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689E">
        <w:rPr>
          <w:rFonts w:ascii="Times New Roman" w:hAnsi="Times New Roman" w:cs="Times New Roman"/>
          <w:sz w:val="20"/>
          <w:szCs w:val="20"/>
        </w:rPr>
        <w:t xml:space="preserve">Guidance as to the preparation of your teaching, research, and service portfolios can be found in the appendices to the </w:t>
      </w:r>
      <w:r w:rsidRPr="0038689E">
        <w:rPr>
          <w:rFonts w:ascii="Times New Roman" w:hAnsi="Times New Roman" w:cs="Times New Roman"/>
          <w:i/>
          <w:sz w:val="20"/>
          <w:szCs w:val="20"/>
        </w:rPr>
        <w:t>Regulations Relating to the Employment of Tenure Track and Tenured Academic Staff</w:t>
      </w:r>
      <w:r w:rsidR="00F03E9E" w:rsidRPr="0038689E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38689E">
          <w:rPr>
            <w:rStyle w:val="Hyperlink"/>
            <w:rFonts w:ascii="Times New Roman" w:hAnsi="Times New Roman" w:cs="Times New Roman"/>
            <w:sz w:val="20"/>
            <w:szCs w:val="20"/>
          </w:rPr>
          <w:t>https://www.mcgill.ca/secretariat/files/secretariat/employment_of_tenure_track_and_tenured_academic_staff_regs_relating_to.pdf</w:t>
        </w:r>
      </w:hyperlink>
    </w:p>
    <w:p w14:paraId="06C28C43" w14:textId="77777777" w:rsidR="003361F6" w:rsidRPr="0038689E" w:rsidRDefault="003361F6" w:rsidP="004726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23D4C2" w14:textId="6CF677F8" w:rsidR="00D91A8D" w:rsidRPr="0038689E" w:rsidRDefault="009950B9" w:rsidP="004726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689E">
        <w:rPr>
          <w:rFonts w:ascii="Times New Roman" w:hAnsi="Times New Roman" w:cs="Times New Roman"/>
          <w:sz w:val="20"/>
          <w:szCs w:val="20"/>
        </w:rPr>
        <w:t>McGill</w:t>
      </w:r>
      <w:r w:rsidR="00482318" w:rsidRPr="0038689E">
        <w:rPr>
          <w:rFonts w:ascii="Times New Roman" w:hAnsi="Times New Roman" w:cs="Times New Roman"/>
          <w:sz w:val="20"/>
          <w:szCs w:val="20"/>
        </w:rPr>
        <w:t xml:space="preserve"> </w:t>
      </w:r>
      <w:r w:rsidR="00D91A8D" w:rsidRPr="0038689E">
        <w:rPr>
          <w:rFonts w:ascii="Times New Roman" w:hAnsi="Times New Roman" w:cs="Times New Roman"/>
          <w:sz w:val="20"/>
          <w:szCs w:val="20"/>
        </w:rPr>
        <w:t xml:space="preserve">University’s Policies and Regulations </w:t>
      </w:r>
      <w:r w:rsidRPr="0038689E">
        <w:rPr>
          <w:rFonts w:ascii="Times New Roman" w:hAnsi="Times New Roman" w:cs="Times New Roman"/>
          <w:sz w:val="20"/>
          <w:szCs w:val="20"/>
        </w:rPr>
        <w:t xml:space="preserve">can be found </w:t>
      </w:r>
      <w:r w:rsidR="00D91A8D" w:rsidRPr="0038689E">
        <w:rPr>
          <w:rFonts w:ascii="Times New Roman" w:hAnsi="Times New Roman" w:cs="Times New Roman"/>
          <w:sz w:val="20"/>
          <w:szCs w:val="20"/>
        </w:rPr>
        <w:t>on the</w:t>
      </w:r>
      <w:r w:rsidR="00D91A8D" w:rsidRPr="0038689E">
        <w:rPr>
          <w:rFonts w:ascii="Times New Roman" w:eastAsia="Calibri" w:hAnsi="Times New Roman" w:cs="Times New Roman"/>
          <w:sz w:val="20"/>
          <w:szCs w:val="20"/>
        </w:rPr>
        <w:t xml:space="preserve"> Secretariat website </w:t>
      </w:r>
      <w:r w:rsidR="00482318" w:rsidRPr="0038689E">
        <w:rPr>
          <w:rFonts w:ascii="Times New Roman" w:eastAsia="Calibri" w:hAnsi="Times New Roman" w:cs="Times New Roman"/>
          <w:sz w:val="20"/>
          <w:szCs w:val="20"/>
        </w:rPr>
        <w:t>at</w:t>
      </w:r>
      <w:r w:rsidR="00DE584D" w:rsidRPr="0038689E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DE584D" w:rsidRPr="0038689E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https://www.mcgill.ca/secretariat/policies-and-regulations</w:t>
        </w:r>
      </w:hyperlink>
      <w:r w:rsidR="00B40226" w:rsidRPr="0038689E">
        <w:rPr>
          <w:rFonts w:ascii="Times New Roman" w:eastAsia="Calibri" w:hAnsi="Times New Roman" w:cs="Times New Roman"/>
          <w:sz w:val="20"/>
          <w:szCs w:val="20"/>
        </w:rPr>
        <w:t>; t</w:t>
      </w: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hey </w:t>
      </w:r>
      <w:r w:rsidR="003361F6" w:rsidRPr="0038689E">
        <w:rPr>
          <w:rFonts w:ascii="Times New Roman" w:eastAsia="Calibri" w:hAnsi="Times New Roman" w:cs="Times New Roman"/>
          <w:sz w:val="20"/>
          <w:szCs w:val="20"/>
        </w:rPr>
        <w:t>apply to members of the McGill community and visitors as specified in each document.</w:t>
      </w:r>
      <w:r w:rsidR="003361F6" w:rsidRPr="003868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C44549" w14:textId="77777777" w:rsidR="00D91A8D" w:rsidRPr="0038689E" w:rsidRDefault="00D91A8D" w:rsidP="004726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8B9B3D" w14:textId="1BC938EC" w:rsidR="003361F6" w:rsidRPr="0038689E" w:rsidRDefault="00D91A8D" w:rsidP="004726F3">
      <w:pPr>
        <w:spacing w:after="0" w:line="240" w:lineRule="auto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 w:rsidRPr="0038689E">
        <w:rPr>
          <w:rFonts w:ascii="Times New Roman" w:hAnsi="Times New Roman" w:cs="Times New Roman"/>
          <w:sz w:val="20"/>
          <w:szCs w:val="20"/>
        </w:rPr>
        <w:t>Please consult the</w:t>
      </w:r>
      <w:r w:rsidR="003361F6" w:rsidRPr="0038689E">
        <w:rPr>
          <w:rFonts w:ascii="Times New Roman" w:hAnsi="Times New Roman" w:cs="Times New Roman"/>
          <w:sz w:val="20"/>
          <w:szCs w:val="20"/>
        </w:rPr>
        <w:t xml:space="preserve"> </w:t>
      </w:r>
      <w:r w:rsidR="009950B9" w:rsidRPr="0038689E">
        <w:rPr>
          <w:rFonts w:ascii="Times New Roman" w:hAnsi="Times New Roman" w:cs="Times New Roman"/>
          <w:sz w:val="20"/>
          <w:szCs w:val="20"/>
        </w:rPr>
        <w:t>Academic Staff Guide</w:t>
      </w:r>
      <w:r w:rsidRPr="0038689E">
        <w:rPr>
          <w:rFonts w:ascii="Times New Roman" w:hAnsi="Times New Roman" w:cs="Times New Roman"/>
          <w:sz w:val="20"/>
          <w:szCs w:val="20"/>
        </w:rPr>
        <w:t>s on the Academic Personnel Office website</w:t>
      </w:r>
      <w:r w:rsidR="003361F6" w:rsidRPr="0038689E">
        <w:rPr>
          <w:rFonts w:ascii="Times New Roman" w:hAnsi="Times New Roman" w:cs="Times New Roman"/>
          <w:sz w:val="20"/>
          <w:szCs w:val="20"/>
        </w:rPr>
        <w:t xml:space="preserve"> </w:t>
      </w:r>
      <w:r w:rsidR="00EF7464" w:rsidRPr="0038689E">
        <w:rPr>
          <w:rFonts w:ascii="Times New Roman" w:hAnsi="Times New Roman" w:cs="Times New Roman"/>
          <w:sz w:val="20"/>
          <w:szCs w:val="20"/>
        </w:rPr>
        <w:t xml:space="preserve">at </w:t>
      </w:r>
      <w:hyperlink r:id="rId11" w:history="1">
        <w:r w:rsidR="003361F6" w:rsidRPr="0038689E">
          <w:rPr>
            <w:rStyle w:val="Hyperlink"/>
            <w:rFonts w:ascii="Times New Roman" w:hAnsi="Times New Roman" w:cs="Times New Roman"/>
            <w:sz w:val="20"/>
            <w:szCs w:val="20"/>
          </w:rPr>
          <w:t>http://www.mcgill.ca/apo/academic-staff</w:t>
        </w:r>
      </w:hyperlink>
      <w:r w:rsidR="00F03E9E" w:rsidRPr="0038689E">
        <w:rPr>
          <w:rFonts w:ascii="Times New Roman" w:eastAsia="Calibri" w:hAnsi="Times New Roman" w:cs="Times New Roman"/>
          <w:sz w:val="20"/>
          <w:szCs w:val="20"/>
        </w:rPr>
        <w:t>, and d</w:t>
      </w:r>
      <w:r w:rsidR="00AA33CD" w:rsidRPr="0038689E">
        <w:rPr>
          <w:rFonts w:ascii="Times New Roman" w:eastAsia="Calibri" w:hAnsi="Times New Roman" w:cs="Times New Roman"/>
          <w:sz w:val="20"/>
          <w:szCs w:val="20"/>
        </w:rPr>
        <w:t>o not hesitate to contact the Academic Pe</w:t>
      </w: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rsonnel Office should you have </w:t>
      </w:r>
      <w:r w:rsidR="00AA33CD" w:rsidRPr="0038689E">
        <w:rPr>
          <w:rFonts w:ascii="Times New Roman" w:eastAsia="Calibri" w:hAnsi="Times New Roman" w:cs="Times New Roman"/>
          <w:sz w:val="20"/>
          <w:szCs w:val="20"/>
        </w:rPr>
        <w:t>queries in their regard.</w:t>
      </w:r>
    </w:p>
    <w:p w14:paraId="5D51D3C7" w14:textId="77777777" w:rsidR="004F6C4C" w:rsidRPr="0038689E" w:rsidRDefault="004F6C4C" w:rsidP="00162A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FD4F4D9" w14:textId="77777777" w:rsidR="00162AF0" w:rsidRPr="0038689E" w:rsidRDefault="00162AF0" w:rsidP="00162A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8689E">
        <w:rPr>
          <w:rFonts w:ascii="Times New Roman" w:hAnsi="Times New Roman" w:cs="Times New Roman"/>
          <w:b/>
          <w:sz w:val="20"/>
          <w:szCs w:val="20"/>
        </w:rPr>
        <w:t xml:space="preserve">SABBATIC LEAVE </w:t>
      </w:r>
    </w:p>
    <w:p w14:paraId="37C21481" w14:textId="77777777" w:rsidR="00162AF0" w:rsidRPr="0038689E" w:rsidRDefault="00162AF0" w:rsidP="00162A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997361" wp14:editId="38EC13E6">
                <wp:simplePos x="0" y="0"/>
                <wp:positionH relativeFrom="column">
                  <wp:posOffset>9525</wp:posOffset>
                </wp:positionH>
                <wp:positionV relativeFrom="paragraph">
                  <wp:posOffset>470535</wp:posOffset>
                </wp:positionV>
                <wp:extent cx="5886450" cy="3048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8DB34" w14:textId="16E53E2A" w:rsidR="00EA7D43" w:rsidRPr="006E4B92" w:rsidRDefault="00EA7D43" w:rsidP="00162A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D15484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Options Appendix Document</w:t>
                            </w:r>
                            <w:r w:rsidR="00DF710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for</w:t>
                            </w:r>
                            <w:r w:rsidRPr="006E4B92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4B92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Sabbatic</w:t>
                            </w:r>
                            <w:proofErr w:type="spellEnd"/>
                            <w:r w:rsidRPr="006E4B92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Leave </w:t>
                            </w:r>
                            <w:r w:rsidR="00DF710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(reference on page 1 of this template document)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7361" id="Text Box 3" o:spid="_x0000_s1029" type="#_x0000_t202" style="position:absolute;margin-left:.75pt;margin-top:37.05pt;width:463.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" stroked="f">
                <v:textbox>
                  <w:txbxContent>
                    <w:p w14:paraId="1928DB34" w14:textId="16E53E2A" w:rsidR="00EA7D43" w:rsidRPr="006E4B92" w:rsidRDefault="00EA7D43" w:rsidP="00162A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See </w:t>
                      </w:r>
                      <w:r w:rsidR="00D15484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Options Appendix Document</w:t>
                      </w:r>
                      <w:r w:rsidR="00DF710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for</w:t>
                      </w:r>
                      <w:r w:rsidRPr="006E4B92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4B92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Sabbatic</w:t>
                      </w:r>
                      <w:proofErr w:type="spellEnd"/>
                      <w:r w:rsidRPr="006E4B92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Leave </w:t>
                      </w:r>
                      <w:r w:rsidR="00DF710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(reference on page 1 of this template document)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8689E">
        <w:rPr>
          <w:rFonts w:ascii="Times New Roman" w:hAnsi="Times New Roman" w:cs="Times New Roman"/>
          <w:sz w:val="20"/>
          <w:szCs w:val="20"/>
        </w:rPr>
        <w:t xml:space="preserve">As a tenured member of academic staff you will be entitled to a </w:t>
      </w:r>
      <w:proofErr w:type="spellStart"/>
      <w:r w:rsidRPr="0038689E">
        <w:rPr>
          <w:rFonts w:ascii="Times New Roman" w:hAnsi="Times New Roman" w:cs="Times New Roman"/>
          <w:sz w:val="20"/>
          <w:szCs w:val="20"/>
        </w:rPr>
        <w:t>sabbatic</w:t>
      </w:r>
      <w:proofErr w:type="spellEnd"/>
      <w:r w:rsidRPr="0038689E">
        <w:rPr>
          <w:rFonts w:ascii="Times New Roman" w:hAnsi="Times New Roman" w:cs="Times New Roman"/>
          <w:sz w:val="20"/>
          <w:szCs w:val="20"/>
        </w:rPr>
        <w:t xml:space="preserve"> leave after six years of credited service.</w:t>
      </w:r>
    </w:p>
    <w:p w14:paraId="53C43938" w14:textId="77777777" w:rsidR="00162AF0" w:rsidRPr="0038689E" w:rsidRDefault="00162AF0" w:rsidP="007B441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1EFC6F" w14:textId="77777777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8689E">
        <w:rPr>
          <w:rFonts w:ascii="Times New Roman" w:eastAsia="Calibri" w:hAnsi="Times New Roman" w:cs="Times New Roman"/>
          <w:b/>
          <w:sz w:val="20"/>
          <w:szCs w:val="20"/>
        </w:rPr>
        <w:t>START-</w:t>
      </w:r>
      <w:r w:rsidR="00E5630B" w:rsidRPr="0038689E">
        <w:rPr>
          <w:rFonts w:ascii="Times New Roman" w:eastAsia="Calibri" w:hAnsi="Times New Roman" w:cs="Times New Roman"/>
          <w:b/>
          <w:sz w:val="20"/>
          <w:szCs w:val="20"/>
        </w:rPr>
        <w:t>UP AND RESEARCH FUNDING</w:t>
      </w:r>
    </w:p>
    <w:p w14:paraId="40C72FE0" w14:textId="77777777" w:rsidR="00316444" w:rsidRPr="0038689E" w:rsidRDefault="00D940E3" w:rsidP="007B44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CFC8C7" wp14:editId="5E818373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5886450" cy="546735"/>
                <wp:effectExtent l="0" t="0" r="0" b="571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4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842C0" w14:textId="4149E6A5" w:rsidR="00EA7D43" w:rsidRPr="006E4B92" w:rsidRDefault="00EA7D43" w:rsidP="00D940E3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E4B92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D15484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Options Appendix Document </w:t>
                            </w:r>
                            <w:r w:rsidRPr="006E4B92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for CRCs, CFI-JELFs and Endowed Named Chairs</w:t>
                            </w:r>
                            <w:r w:rsidR="00DF710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(reference on page 1 of this template document)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C8C7" id="_x0000_s1030" type="#_x0000_t202" style="position:absolute;margin-left:0;margin-top:50.2pt;width:463.5pt;height:43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" stroked="f">
                <v:textbox>
                  <w:txbxContent>
                    <w:p w14:paraId="449842C0" w14:textId="4149E6A5" w:rsidR="00EA7D43" w:rsidRPr="006E4B92" w:rsidRDefault="00EA7D43" w:rsidP="00D940E3">
                      <w:pPr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E4B92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See </w:t>
                      </w:r>
                      <w:r w:rsidR="00D15484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Options Appendix Document </w:t>
                      </w:r>
                      <w:r w:rsidRPr="006E4B92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for CRCs, CFI-JELFs and Endowed Named Chairs</w:t>
                      </w:r>
                      <w:r w:rsidR="00DF710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(reference on page 1 of this template document)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B4419" w:rsidRPr="0038689E">
        <w:rPr>
          <w:rFonts w:ascii="Times New Roman" w:eastAsia="Calibri" w:hAnsi="Times New Roman" w:cs="Times New Roman"/>
          <w:sz w:val="20"/>
          <w:szCs w:val="20"/>
        </w:rPr>
        <w:t>You are required to apply for peer-reviewed grants.  To assist you, we will provide y</w:t>
      </w:r>
      <w:r w:rsidR="00D75FA3" w:rsidRPr="0038689E">
        <w:rPr>
          <w:rFonts w:ascii="Times New Roman" w:eastAsia="Calibri" w:hAnsi="Times New Roman" w:cs="Times New Roman"/>
          <w:sz w:val="20"/>
          <w:szCs w:val="20"/>
        </w:rPr>
        <w:t>ou with start-up operating funds</w:t>
      </w:r>
      <w:r w:rsidR="007B4419" w:rsidRPr="0038689E">
        <w:rPr>
          <w:rFonts w:ascii="Times New Roman" w:eastAsia="Calibri" w:hAnsi="Times New Roman" w:cs="Times New Roman"/>
          <w:sz w:val="20"/>
          <w:szCs w:val="20"/>
        </w:rPr>
        <w:t xml:space="preserve"> of $ </w:t>
      </w:r>
      <w:r w:rsidR="007B4419" w:rsidRPr="0038689E">
        <w:rPr>
          <w:rFonts w:ascii="Times New Roman" w:eastAsia="Calibri" w:hAnsi="Times New Roman" w:cs="Times New Roman"/>
          <w:sz w:val="20"/>
          <w:szCs w:val="20"/>
          <w:highlight w:val="lightGray"/>
        </w:rPr>
        <w:t>&lt;FUNDING&gt;.</w:t>
      </w:r>
      <w:r w:rsidR="00D75FA3" w:rsidRPr="0038689E">
        <w:rPr>
          <w:rFonts w:ascii="Times New Roman" w:eastAsia="Calibri" w:hAnsi="Times New Roman" w:cs="Times New Roman"/>
          <w:sz w:val="20"/>
          <w:szCs w:val="20"/>
        </w:rPr>
        <w:t xml:space="preserve">  The start-up fund</w:t>
      </w:r>
      <w:r w:rsidR="007B4419" w:rsidRPr="0038689E">
        <w:rPr>
          <w:rFonts w:ascii="Times New Roman" w:eastAsia="Calibri" w:hAnsi="Times New Roman" w:cs="Times New Roman"/>
          <w:sz w:val="20"/>
          <w:szCs w:val="20"/>
        </w:rPr>
        <w:t xml:space="preserve"> must be spent within the first </w:t>
      </w:r>
      <w:r w:rsidR="00D75FA3" w:rsidRPr="0038689E">
        <w:rPr>
          <w:rFonts w:ascii="Times New Roman" w:eastAsia="Calibri" w:hAnsi="Times New Roman" w:cs="Times New Roman"/>
          <w:sz w:val="20"/>
          <w:szCs w:val="20"/>
          <w:highlight w:val="lightGray"/>
        </w:rPr>
        <w:t>X</w:t>
      </w:r>
      <w:r w:rsidR="007B4419" w:rsidRPr="0038689E">
        <w:rPr>
          <w:rFonts w:ascii="Times New Roman" w:eastAsia="Calibri" w:hAnsi="Times New Roman" w:cs="Times New Roman"/>
          <w:sz w:val="20"/>
          <w:szCs w:val="20"/>
        </w:rPr>
        <w:t xml:space="preserve"> years of your appointment. </w:t>
      </w:r>
    </w:p>
    <w:p w14:paraId="34848077" w14:textId="77777777" w:rsidR="00D94700" w:rsidRPr="0038689E" w:rsidRDefault="00D94700" w:rsidP="00D902F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4111C5" w14:textId="77777777" w:rsidR="00C75454" w:rsidRPr="0038689E" w:rsidRDefault="00C75454" w:rsidP="00C7545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8689E">
        <w:rPr>
          <w:rFonts w:ascii="Times New Roman" w:eastAsia="Calibri" w:hAnsi="Times New Roman" w:cs="Times New Roman"/>
          <w:b/>
          <w:sz w:val="20"/>
          <w:szCs w:val="20"/>
        </w:rPr>
        <w:t>SPACE</w:t>
      </w:r>
    </w:p>
    <w:p w14:paraId="0D53A9C8" w14:textId="77777777" w:rsidR="00C75454" w:rsidRPr="0038689E" w:rsidRDefault="00C75454" w:rsidP="00C75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You will be allocated an office in </w:t>
      </w:r>
      <w:r w:rsidRPr="0038689E">
        <w:rPr>
          <w:rFonts w:ascii="Times New Roman" w:eastAsia="Calibri" w:hAnsi="Times New Roman" w:cs="Times New Roman"/>
          <w:sz w:val="20"/>
          <w:szCs w:val="20"/>
          <w:highlight w:val="yellow"/>
        </w:rPr>
        <w:t>and/or</w:t>
      </w: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 laboratory space in the &lt;</w:t>
      </w:r>
      <w:r w:rsidRPr="0038689E">
        <w:rPr>
          <w:rFonts w:ascii="Times New Roman" w:eastAsia="Calibri" w:hAnsi="Times New Roman" w:cs="Times New Roman"/>
          <w:sz w:val="20"/>
          <w:szCs w:val="20"/>
          <w:highlight w:val="lightGray"/>
        </w:rPr>
        <w:t>FACULTY</w:t>
      </w:r>
      <w:r w:rsidRPr="0038689E">
        <w:rPr>
          <w:rFonts w:ascii="Times New Roman" w:eastAsia="Calibri" w:hAnsi="Times New Roman" w:cs="Times New Roman"/>
          <w:sz w:val="20"/>
          <w:szCs w:val="20"/>
        </w:rPr>
        <w:t>&gt;.</w:t>
      </w:r>
    </w:p>
    <w:p w14:paraId="5DA510C2" w14:textId="77777777" w:rsidR="005F2863" w:rsidRPr="0038689E" w:rsidRDefault="005F2863" w:rsidP="00C754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4DE7AF3" w14:textId="58636FF5" w:rsidR="002865A2" w:rsidRPr="0038689E" w:rsidRDefault="00D940E3" w:rsidP="00D902F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9F3F4D" wp14:editId="01B1B6D9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5886450" cy="53340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714FB" w14:textId="7F568EAF" w:rsidR="00EA7D43" w:rsidRPr="006E4B92" w:rsidRDefault="00EA7D43" w:rsidP="00D940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E4B92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D15484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Options Appendix Document</w:t>
                            </w:r>
                            <w:r w:rsidR="00DF710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B92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292935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Professional Requirements</w:t>
                            </w:r>
                            <w:r w:rsidR="00DF710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(reference on page 1 of this template document)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3F4D" id="_x0000_s1031" type="#_x0000_t202" style="position:absolute;margin-left:0;margin-top:26pt;width:463.5pt;height:42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" stroked="f">
                <v:textbox>
                  <w:txbxContent>
                    <w:p w14:paraId="27F714FB" w14:textId="7F568EAF" w:rsidR="00EA7D43" w:rsidRPr="006E4B92" w:rsidRDefault="00EA7D43" w:rsidP="00D940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E4B92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See </w:t>
                      </w:r>
                      <w:r w:rsidR="00D15484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Options Appendix Document</w:t>
                      </w:r>
                      <w:r w:rsidR="00DF710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6E4B92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for </w:t>
                      </w:r>
                      <w:r w:rsidRPr="00292935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Professional Requirements</w:t>
                      </w:r>
                      <w:r w:rsidR="00DF710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(reference on page 1 of this template document)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F2863" w:rsidRPr="0038689E">
        <w:rPr>
          <w:rFonts w:ascii="Times New Roman" w:hAnsi="Times New Roman" w:cs="Times New Roman"/>
          <w:b/>
          <w:sz w:val="20"/>
          <w:szCs w:val="20"/>
        </w:rPr>
        <w:t>PROFESSIONAL REQUIREMENTS</w:t>
      </w:r>
      <w:r w:rsidR="005F2863" w:rsidRPr="0038689E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</w:p>
    <w:p w14:paraId="28F94DA4" w14:textId="08F7A163" w:rsidR="00C43DAA" w:rsidRPr="0038689E" w:rsidRDefault="00C43DAA" w:rsidP="00C43DA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8689E">
        <w:rPr>
          <w:rFonts w:ascii="Times New Roman" w:eastAsia="Calibri" w:hAnsi="Times New Roman" w:cs="Times New Roman"/>
          <w:b/>
          <w:sz w:val="20"/>
          <w:szCs w:val="20"/>
        </w:rPr>
        <w:t>ORIENTATION AND TRAINING</w:t>
      </w:r>
    </w:p>
    <w:p w14:paraId="061F93CC" w14:textId="0B789BF6" w:rsidR="00EC5BB7" w:rsidRPr="0038689E" w:rsidRDefault="00C43DAA" w:rsidP="00D902F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sz w:val="20"/>
          <w:szCs w:val="20"/>
        </w:rPr>
        <w:t>On your arrival at McGill, your orientation will include a session for New Tenure</w:t>
      </w:r>
      <w:r w:rsidR="003F31B7" w:rsidRPr="0038689E">
        <w:rPr>
          <w:rFonts w:ascii="Times New Roman" w:eastAsia="Calibri" w:hAnsi="Times New Roman" w:cs="Times New Roman"/>
          <w:sz w:val="20"/>
          <w:szCs w:val="20"/>
        </w:rPr>
        <w:t>-</w:t>
      </w:r>
      <w:r w:rsidRPr="0038689E">
        <w:rPr>
          <w:rFonts w:ascii="Times New Roman" w:eastAsia="Calibri" w:hAnsi="Times New Roman" w:cs="Times New Roman"/>
          <w:sz w:val="20"/>
          <w:szCs w:val="20"/>
        </w:rPr>
        <w:t>Stream Academic Staff</w:t>
      </w:r>
      <w:r w:rsidRPr="0038689E">
        <w:rPr>
          <w:rFonts w:ascii="Times New Roman" w:hAnsi="Times New Roman" w:cs="Times New Roman"/>
          <w:sz w:val="20"/>
          <w:szCs w:val="20"/>
        </w:rPr>
        <w:t xml:space="preserve"> </w:t>
      </w:r>
      <w:r w:rsidR="00864BBF" w:rsidRPr="0038689E">
        <w:rPr>
          <w:rFonts w:ascii="Times New Roman" w:hAnsi="Times New Roman" w:cs="Times New Roman"/>
          <w:sz w:val="20"/>
          <w:szCs w:val="20"/>
        </w:rPr>
        <w:t>(</w:t>
      </w:r>
      <w:hyperlink r:id="rId12" w:history="1">
        <w:r w:rsidR="002B39FE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https://www.mcgill.ca/apo/new-tsas-guide/orientation-new-tenure-stream-academic-staff</w:t>
        </w:r>
      </w:hyperlink>
      <w:r w:rsidR="00864BBF" w:rsidRPr="0038689E">
        <w:rPr>
          <w:rFonts w:ascii="Times New Roman" w:eastAsia="Calibri" w:hAnsi="Times New Roman" w:cs="Times New Roman"/>
          <w:sz w:val="20"/>
          <w:szCs w:val="20"/>
        </w:rPr>
        <w:t>)</w:t>
      </w:r>
      <w:r w:rsidR="004F6C4C" w:rsidRPr="0038689E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F31B7" w:rsidRPr="0038689E">
        <w:rPr>
          <w:rFonts w:ascii="Times New Roman" w:eastAsia="Calibri" w:hAnsi="Times New Roman" w:cs="Times New Roman"/>
          <w:sz w:val="20"/>
          <w:szCs w:val="20"/>
        </w:rPr>
        <w:t xml:space="preserve"> There is also </w:t>
      </w:r>
      <w:r w:rsidRPr="0038689E">
        <w:rPr>
          <w:rFonts w:ascii="Times New Roman" w:eastAsia="Calibri" w:hAnsi="Times New Roman" w:cs="Times New Roman"/>
          <w:sz w:val="20"/>
          <w:szCs w:val="20"/>
        </w:rPr>
        <w:t>a mandatory session for all new faculty on graduate supervision, organized by the University’s Graduate and Postdoctoral Studies Office</w:t>
      </w:r>
      <w:r w:rsidR="00864BBF" w:rsidRPr="0038689E">
        <w:rPr>
          <w:rFonts w:ascii="Times New Roman" w:hAnsi="Times New Roman" w:cs="Times New Roman"/>
          <w:sz w:val="20"/>
          <w:szCs w:val="20"/>
        </w:rPr>
        <w:t xml:space="preserve"> (</w:t>
      </w:r>
      <w:hyperlink r:id="rId13" w:history="1">
        <w:r w:rsidR="00101C08" w:rsidRPr="0038689E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http://www.mcgill.ca/tls/teaching/supervision</w:t>
        </w:r>
      </w:hyperlink>
      <w:r w:rsidR="00864BBF" w:rsidRPr="0038689E">
        <w:rPr>
          <w:rFonts w:ascii="Times New Roman" w:eastAsia="Calibri" w:hAnsi="Times New Roman" w:cs="Times New Roman"/>
          <w:sz w:val="20"/>
          <w:szCs w:val="20"/>
        </w:rPr>
        <w:t>).</w:t>
      </w:r>
    </w:p>
    <w:p w14:paraId="180F1136" w14:textId="77777777" w:rsidR="00744A2B" w:rsidRPr="0038689E" w:rsidRDefault="00744A2B" w:rsidP="00D902F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475B295" w14:textId="77777777" w:rsidR="00D902F4" w:rsidRPr="0038689E" w:rsidRDefault="00EE285F" w:rsidP="00D902F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8689E">
        <w:rPr>
          <w:rFonts w:ascii="Times New Roman" w:eastAsia="Calibri" w:hAnsi="Times New Roman" w:cs="Times New Roman"/>
          <w:b/>
          <w:sz w:val="20"/>
          <w:szCs w:val="20"/>
        </w:rPr>
        <w:t>OTHER BENEFITS</w:t>
      </w:r>
    </w:p>
    <w:p w14:paraId="5E8EE3E6" w14:textId="11FCAF46" w:rsidR="00060D17" w:rsidRPr="0038689E" w:rsidRDefault="00060D17" w:rsidP="00EE28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689E">
        <w:rPr>
          <w:rFonts w:ascii="Times New Roman" w:hAnsi="Times New Roman" w:cs="Times New Roman"/>
          <w:sz w:val="20"/>
          <w:szCs w:val="20"/>
        </w:rPr>
        <w:t xml:space="preserve">Your benefits program is an important part of being a McGill employee. </w:t>
      </w:r>
      <w:r w:rsidR="00D91A8D" w:rsidRPr="0038689E">
        <w:rPr>
          <w:rFonts w:ascii="Times New Roman" w:hAnsi="Times New Roman" w:cs="Times New Roman"/>
          <w:sz w:val="20"/>
          <w:szCs w:val="20"/>
        </w:rPr>
        <w:t>For details, p</w:t>
      </w:r>
      <w:r w:rsidR="008F13EA" w:rsidRPr="0038689E">
        <w:rPr>
          <w:rFonts w:ascii="Times New Roman" w:hAnsi="Times New Roman" w:cs="Times New Roman"/>
          <w:sz w:val="20"/>
          <w:szCs w:val="20"/>
        </w:rPr>
        <w:t>lease visit</w:t>
      </w:r>
      <w:r w:rsidR="004F6C4C" w:rsidRPr="0038689E">
        <w:rPr>
          <w:rFonts w:ascii="Times New Roman" w:hAnsi="Times New Roman" w:cs="Times New Roman"/>
          <w:sz w:val="20"/>
          <w:szCs w:val="20"/>
        </w:rPr>
        <w:t xml:space="preserve"> the Human Resources website at</w:t>
      </w:r>
      <w:r w:rsidR="00D91A8D" w:rsidRPr="0038689E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101C08" w:rsidRPr="0038689E">
          <w:rPr>
            <w:rStyle w:val="Hyperlink"/>
            <w:rFonts w:ascii="Times New Roman" w:hAnsi="Times New Roman" w:cs="Times New Roman"/>
            <w:sz w:val="20"/>
            <w:szCs w:val="20"/>
          </w:rPr>
          <w:t>http://www.mcgill.ca/hr/bp/benefits</w:t>
        </w:r>
      </w:hyperlink>
    </w:p>
    <w:p w14:paraId="2AC9DAC1" w14:textId="77777777" w:rsidR="00060D17" w:rsidRPr="0038689E" w:rsidRDefault="00060D17" w:rsidP="00EE28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D9DCAE" w14:textId="1B0025C7" w:rsidR="00EE285F" w:rsidRPr="0038689E" w:rsidRDefault="00EE285F" w:rsidP="00EE285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hAnsi="Times New Roman" w:cs="Times New Roman"/>
          <w:sz w:val="20"/>
          <w:szCs w:val="20"/>
        </w:rPr>
        <w:t xml:space="preserve">You may be eligible for a subsidy </w:t>
      </w:r>
      <w:r w:rsidR="005F3B6A" w:rsidRPr="0038689E">
        <w:rPr>
          <w:rFonts w:ascii="Times New Roman" w:hAnsi="Times New Roman" w:cs="Times New Roman"/>
          <w:sz w:val="20"/>
          <w:szCs w:val="20"/>
        </w:rPr>
        <w:t xml:space="preserve">that covers </w:t>
      </w:r>
      <w:r w:rsidRPr="0038689E">
        <w:rPr>
          <w:rFonts w:ascii="Times New Roman" w:hAnsi="Times New Roman" w:cs="Times New Roman"/>
          <w:sz w:val="20"/>
          <w:szCs w:val="20"/>
        </w:rPr>
        <w:t>part or all of the costs of purchasing laptop computers to be used for teaching purposes.</w:t>
      </w: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703F2" w:rsidRPr="0038689E">
        <w:rPr>
          <w:rFonts w:ascii="Times New Roman" w:eastAsia="Calibri" w:hAnsi="Times New Roman" w:cs="Times New Roman"/>
          <w:sz w:val="20"/>
          <w:szCs w:val="20"/>
        </w:rPr>
        <w:t xml:space="preserve">The laptop and any other equipment purchased from this fund or other research funds are considered to be the University’s property. </w:t>
      </w:r>
      <w:r w:rsidR="005F3B6A" w:rsidRPr="0038689E">
        <w:rPr>
          <w:rFonts w:ascii="Times New Roman" w:eastAsia="Calibri" w:hAnsi="Times New Roman" w:cs="Times New Roman"/>
          <w:sz w:val="20"/>
          <w:szCs w:val="20"/>
        </w:rPr>
        <w:t xml:space="preserve">For details, </w:t>
      </w:r>
      <w:r w:rsidR="00D91A8D" w:rsidRPr="0038689E">
        <w:rPr>
          <w:rFonts w:ascii="Times New Roman" w:eastAsia="Calibri" w:hAnsi="Times New Roman" w:cs="Times New Roman"/>
          <w:sz w:val="20"/>
          <w:szCs w:val="20"/>
        </w:rPr>
        <w:t xml:space="preserve">please </w:t>
      </w:r>
      <w:r w:rsidR="005F3B6A" w:rsidRPr="0038689E">
        <w:rPr>
          <w:rFonts w:ascii="Times New Roman" w:eastAsia="Calibri" w:hAnsi="Times New Roman" w:cs="Times New Roman"/>
          <w:sz w:val="20"/>
          <w:szCs w:val="20"/>
        </w:rPr>
        <w:t>visit</w:t>
      </w:r>
      <w:r w:rsidR="004F6C4C" w:rsidRPr="0038689E">
        <w:rPr>
          <w:rFonts w:ascii="Times New Roman" w:eastAsia="Calibri" w:hAnsi="Times New Roman" w:cs="Times New Roman"/>
          <w:sz w:val="20"/>
          <w:szCs w:val="20"/>
        </w:rPr>
        <w:t xml:space="preserve"> the Academic </w:t>
      </w:r>
      <w:r w:rsidR="0038689E">
        <w:rPr>
          <w:rFonts w:ascii="Times New Roman" w:eastAsia="Calibri" w:hAnsi="Times New Roman" w:cs="Times New Roman"/>
          <w:sz w:val="20"/>
          <w:szCs w:val="20"/>
        </w:rPr>
        <w:t>Personnel Office website</w:t>
      </w:r>
      <w:r w:rsidR="004F6C4C" w:rsidRPr="0038689E">
        <w:rPr>
          <w:rFonts w:ascii="Times New Roman" w:eastAsia="Calibri" w:hAnsi="Times New Roman" w:cs="Times New Roman"/>
          <w:sz w:val="20"/>
          <w:szCs w:val="20"/>
        </w:rPr>
        <w:t xml:space="preserve"> at</w:t>
      </w:r>
      <w:r w:rsidR="005F3B6A" w:rsidRPr="003868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15" w:history="1">
        <w:r w:rsidR="001862BD" w:rsidRPr="0038689E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https://www.mcgill.ca/apo/academic-staff/other-information/academic-laptop-program</w:t>
        </w:r>
      </w:hyperlink>
    </w:p>
    <w:p w14:paraId="6CF3CC62" w14:textId="77777777" w:rsidR="00E87C6D" w:rsidRPr="0038689E" w:rsidRDefault="00E87C6D" w:rsidP="00EE285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FF4CF40" w14:textId="7A4AE9AB" w:rsidR="00292935" w:rsidRPr="0038689E" w:rsidRDefault="00EE285F" w:rsidP="00CD19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sz w:val="20"/>
          <w:szCs w:val="20"/>
        </w:rPr>
        <w:t>You may also be eligible each year for an amount of $</w:t>
      </w:r>
      <w:r w:rsidR="004F749D" w:rsidRPr="0038689E">
        <w:rPr>
          <w:rFonts w:ascii="Times New Roman" w:eastAsia="Calibri" w:hAnsi="Times New Roman" w:cs="Times New Roman"/>
          <w:sz w:val="20"/>
          <w:szCs w:val="20"/>
        </w:rPr>
        <w:t>750</w:t>
      </w: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 from the Professional Development Fund administered by the </w:t>
      </w:r>
      <w:r w:rsidR="004F749D" w:rsidRPr="0038689E">
        <w:rPr>
          <w:rFonts w:ascii="Times New Roman" w:eastAsia="Calibri" w:hAnsi="Times New Roman" w:cs="Times New Roman"/>
          <w:sz w:val="20"/>
          <w:szCs w:val="20"/>
        </w:rPr>
        <w:t>Office of the Provost and Vice-Principal (Academic)</w:t>
      </w: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 for academic memberships, conference registrations, etc.</w:t>
      </w:r>
      <w:r w:rsidR="002315C6" w:rsidRPr="0038689E">
        <w:rPr>
          <w:rFonts w:ascii="Times New Roman" w:hAnsi="Times New Roman" w:cs="Times New Roman"/>
          <w:sz w:val="20"/>
          <w:szCs w:val="20"/>
        </w:rPr>
        <w:t xml:space="preserve"> </w:t>
      </w:r>
      <w:r w:rsidR="0038689E" w:rsidRPr="0038689E">
        <w:rPr>
          <w:rFonts w:ascii="Times New Roman" w:eastAsia="Calibri" w:hAnsi="Times New Roman" w:cs="Times New Roman"/>
          <w:sz w:val="20"/>
          <w:szCs w:val="20"/>
        </w:rPr>
        <w:t xml:space="preserve">For details, please visit the Academic </w:t>
      </w:r>
      <w:r w:rsidR="0038689E">
        <w:rPr>
          <w:rFonts w:ascii="Times New Roman" w:eastAsia="Calibri" w:hAnsi="Times New Roman" w:cs="Times New Roman"/>
          <w:sz w:val="20"/>
          <w:szCs w:val="20"/>
        </w:rPr>
        <w:t>Personnel Office website</w:t>
      </w:r>
      <w:r w:rsidR="0038689E" w:rsidRPr="0038689E">
        <w:rPr>
          <w:rFonts w:ascii="Times New Roman" w:eastAsia="Calibri" w:hAnsi="Times New Roman" w:cs="Times New Roman"/>
          <w:sz w:val="20"/>
          <w:szCs w:val="20"/>
        </w:rPr>
        <w:t xml:space="preserve"> at </w:t>
      </w:r>
      <w:hyperlink r:id="rId16" w:history="1">
        <w:r w:rsidR="004F749D" w:rsidRPr="0038689E">
          <w:rPr>
            <w:rStyle w:val="Hyperlink"/>
            <w:rFonts w:ascii="Times New Roman" w:hAnsi="Times New Roman" w:cs="Times New Roman"/>
            <w:sz w:val="20"/>
            <w:szCs w:val="20"/>
          </w:rPr>
          <w:t>https://www.mcgill.ca/apo/academic-staff/other-information/professional-development-fund</w:t>
        </w:r>
      </w:hyperlink>
    </w:p>
    <w:p w14:paraId="29D3EAF1" w14:textId="77777777" w:rsidR="00162AF0" w:rsidRPr="0038689E" w:rsidRDefault="00162AF0" w:rsidP="00493F58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CA"/>
        </w:rPr>
      </w:pPr>
    </w:p>
    <w:p w14:paraId="4CDB8E75" w14:textId="77777777" w:rsidR="00292935" w:rsidRPr="0038689E" w:rsidRDefault="00292935" w:rsidP="00493F58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CA"/>
        </w:rPr>
      </w:pPr>
      <w:r w:rsidRPr="0038689E">
        <w:rPr>
          <w:rFonts w:ascii="Times New Roman" w:eastAsia="Calibri" w:hAnsi="Times New Roman" w:cs="Times New Roman"/>
          <w:b/>
          <w:sz w:val="20"/>
          <w:szCs w:val="20"/>
          <w:lang w:val="en-CA"/>
        </w:rPr>
        <w:t xml:space="preserve">RELOCATION </w:t>
      </w:r>
      <w:r w:rsidR="00366898" w:rsidRPr="0038689E">
        <w:rPr>
          <w:rFonts w:ascii="Times New Roman" w:eastAsia="Calibri" w:hAnsi="Times New Roman" w:cs="Times New Roman"/>
          <w:b/>
          <w:sz w:val="20"/>
          <w:szCs w:val="20"/>
          <w:lang w:val="en-CA"/>
        </w:rPr>
        <w:t>SERVICES</w:t>
      </w:r>
    </w:p>
    <w:p w14:paraId="57AAB9F7" w14:textId="4E5C2504" w:rsidR="00A54159" w:rsidRPr="0038689E" w:rsidRDefault="00A54159" w:rsidP="00A54159">
      <w:pPr>
        <w:rPr>
          <w:rFonts w:ascii="Times New Roman" w:hAnsi="Times New Roman" w:cs="Times New Roman"/>
          <w:color w:val="C00000"/>
          <w:sz w:val="20"/>
          <w:szCs w:val="20"/>
        </w:rPr>
      </w:pPr>
      <w:r w:rsidRPr="0038689E">
        <w:rPr>
          <w:rFonts w:ascii="Times New Roman" w:hAnsi="Times New Roman" w:cs="Times New Roman"/>
          <w:color w:val="C00000"/>
          <w:sz w:val="20"/>
          <w:szCs w:val="20"/>
        </w:rPr>
        <w:t>*</w:t>
      </w:r>
      <w:r w:rsidR="004A0D53" w:rsidRPr="0038689E">
        <w:rPr>
          <w:rFonts w:ascii="Times New Roman" w:hAnsi="Times New Roman" w:cs="Times New Roman"/>
          <w:color w:val="C00000"/>
          <w:sz w:val="20"/>
          <w:szCs w:val="20"/>
        </w:rPr>
        <w:t>DO NOT INCLUDE FOR SPOUSAL/PROVOSTIAL HIRES/LOCAL RESIDENTS</w:t>
      </w:r>
    </w:p>
    <w:p w14:paraId="4A5D94D2" w14:textId="3C7DF0F0" w:rsidR="00A54159" w:rsidRPr="0038689E" w:rsidRDefault="00A54159" w:rsidP="00A541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89E">
        <w:rPr>
          <w:rFonts w:ascii="Times New Roman" w:hAnsi="Times New Roman" w:cs="Times New Roman"/>
          <w:sz w:val="20"/>
          <w:szCs w:val="20"/>
        </w:rPr>
        <w:t>The relocation costs paid under this Service constitute a loan made by the University to the employee. This loan will be considered to be paid off by means of 36 months of continuous service to the University. Should you</w:t>
      </w:r>
      <w:r w:rsidR="003F31B7" w:rsidRPr="0038689E">
        <w:rPr>
          <w:rFonts w:ascii="Times New Roman" w:hAnsi="Times New Roman" w:cs="Times New Roman"/>
          <w:sz w:val="20"/>
          <w:szCs w:val="20"/>
        </w:rPr>
        <w:t>,</w:t>
      </w:r>
      <w:r w:rsidRPr="0038689E">
        <w:rPr>
          <w:rFonts w:ascii="Times New Roman" w:hAnsi="Times New Roman" w:cs="Times New Roman"/>
          <w:sz w:val="20"/>
          <w:szCs w:val="20"/>
        </w:rPr>
        <w:t xml:space="preserve"> for any reason</w:t>
      </w:r>
      <w:r w:rsidR="003F31B7" w:rsidRPr="0038689E">
        <w:rPr>
          <w:rFonts w:ascii="Times New Roman" w:hAnsi="Times New Roman" w:cs="Times New Roman"/>
          <w:sz w:val="20"/>
          <w:szCs w:val="20"/>
        </w:rPr>
        <w:t>,</w:t>
      </w:r>
      <w:r w:rsidRPr="0038689E">
        <w:rPr>
          <w:rFonts w:ascii="Times New Roman" w:hAnsi="Times New Roman" w:cs="Times New Roman"/>
          <w:sz w:val="20"/>
          <w:szCs w:val="20"/>
        </w:rPr>
        <w:t xml:space="preserve"> leave the University prior to the completion of 36 months’ service, you agree to reimburse the University the outstanding portion (x/36) of the final relocation cost. In addition to what is offered by the University, the </w:t>
      </w:r>
      <w:r w:rsidRPr="0038689E">
        <w:rPr>
          <w:rFonts w:ascii="Times New Roman" w:hAnsi="Times New Roman" w:cs="Times New Roman"/>
          <w:sz w:val="20"/>
          <w:szCs w:val="20"/>
          <w:highlight w:val="lightGray"/>
        </w:rPr>
        <w:t>&lt;DEPARTMENT/SCHOOL/UNIT&gt;</w:t>
      </w:r>
      <w:r w:rsidRPr="0038689E">
        <w:rPr>
          <w:rFonts w:ascii="Times New Roman" w:hAnsi="Times New Roman" w:cs="Times New Roman"/>
          <w:sz w:val="20"/>
          <w:szCs w:val="20"/>
        </w:rPr>
        <w:t xml:space="preserve"> undertakes to </w:t>
      </w:r>
      <w:r w:rsidRPr="0038689E">
        <w:rPr>
          <w:rFonts w:ascii="Times New Roman" w:hAnsi="Times New Roman" w:cs="Times New Roman"/>
          <w:sz w:val="20"/>
          <w:szCs w:val="20"/>
          <w:highlight w:val="lightGray"/>
        </w:rPr>
        <w:t>…</w:t>
      </w:r>
    </w:p>
    <w:p w14:paraId="4DC381FA" w14:textId="5E892962" w:rsidR="008F13EA" w:rsidRPr="0038689E" w:rsidRDefault="0038689E" w:rsidP="00A54159">
      <w:pPr>
        <w:spacing w:after="0"/>
        <w:rPr>
          <w:rFonts w:ascii="Times New Roman" w:eastAsia="Calibri" w:hAnsi="Times New Roman" w:cs="Times New Roman"/>
          <w:sz w:val="20"/>
          <w:szCs w:val="20"/>
          <w:lang w:val="en-CA"/>
        </w:rPr>
      </w:pP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For details, please visit the Academic </w:t>
      </w:r>
      <w:r>
        <w:rPr>
          <w:rFonts w:ascii="Times New Roman" w:eastAsia="Calibri" w:hAnsi="Times New Roman" w:cs="Times New Roman"/>
          <w:sz w:val="20"/>
          <w:szCs w:val="20"/>
        </w:rPr>
        <w:t>Personnel Office website</w:t>
      </w: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 at </w:t>
      </w:r>
      <w:hyperlink r:id="rId17" w:history="1">
        <w:r w:rsidR="00F6204C" w:rsidRPr="0038689E">
          <w:rPr>
            <w:rStyle w:val="Hyperlink"/>
            <w:rFonts w:ascii="Times New Roman" w:eastAsia="Calibri" w:hAnsi="Times New Roman" w:cs="Times New Roman"/>
            <w:sz w:val="20"/>
            <w:szCs w:val="20"/>
            <w:lang w:val="en-CA"/>
          </w:rPr>
          <w:t>http://www.mcgill.ca/apo/new-tsas-guide/working-canada-moving-montreal/relocation-service</w:t>
        </w:r>
      </w:hyperlink>
      <w:r w:rsidR="00493F58" w:rsidRPr="0038689E">
        <w:rPr>
          <w:rFonts w:ascii="Times New Roman" w:eastAsia="Calibri" w:hAnsi="Times New Roman" w:cs="Times New Roman"/>
          <w:sz w:val="20"/>
          <w:szCs w:val="20"/>
          <w:lang w:val="en-CA"/>
        </w:rPr>
        <w:t xml:space="preserve">.  </w:t>
      </w:r>
    </w:p>
    <w:p w14:paraId="1AE49D38" w14:textId="77777777" w:rsidR="008F13EA" w:rsidRPr="0038689E" w:rsidRDefault="008F13EA" w:rsidP="00A54159">
      <w:pPr>
        <w:spacing w:after="0"/>
        <w:rPr>
          <w:rFonts w:ascii="Times New Roman" w:eastAsia="Calibri" w:hAnsi="Times New Roman" w:cs="Times New Roman"/>
          <w:sz w:val="20"/>
          <w:szCs w:val="20"/>
          <w:lang w:val="en-CA"/>
        </w:rPr>
      </w:pPr>
    </w:p>
    <w:p w14:paraId="1DF4F9D8" w14:textId="4C958D41" w:rsidR="00493F58" w:rsidRPr="0038689E" w:rsidRDefault="00493F58" w:rsidP="00A54159">
      <w:pPr>
        <w:spacing w:after="0"/>
        <w:rPr>
          <w:rFonts w:ascii="Times New Roman" w:eastAsia="Calibri" w:hAnsi="Times New Roman" w:cs="Times New Roman"/>
          <w:sz w:val="20"/>
          <w:szCs w:val="20"/>
          <w:lang w:val="en-CA"/>
        </w:rPr>
      </w:pPr>
      <w:r w:rsidRPr="0038689E">
        <w:rPr>
          <w:rFonts w:ascii="Times New Roman" w:eastAsia="Calibri" w:hAnsi="Times New Roman" w:cs="Times New Roman"/>
          <w:sz w:val="20"/>
          <w:szCs w:val="20"/>
          <w:lang w:val="en-CA"/>
        </w:rPr>
        <w:t xml:space="preserve">You may also contact the </w:t>
      </w:r>
      <w:r w:rsidR="00B40226" w:rsidRPr="0038689E">
        <w:rPr>
          <w:rFonts w:ascii="Times New Roman" w:eastAsia="Calibri" w:hAnsi="Times New Roman" w:cs="Times New Roman"/>
          <w:sz w:val="20"/>
          <w:szCs w:val="20"/>
          <w:lang w:val="en-CA"/>
        </w:rPr>
        <w:t>Immigration and Relocation Administrator</w:t>
      </w:r>
      <w:r w:rsidRPr="0038689E">
        <w:rPr>
          <w:rFonts w:ascii="Times New Roman" w:eastAsia="Calibri" w:hAnsi="Times New Roman" w:cs="Times New Roman"/>
          <w:sz w:val="20"/>
          <w:szCs w:val="20"/>
          <w:lang w:val="en-CA"/>
        </w:rPr>
        <w:t xml:space="preserve"> by email at </w:t>
      </w:r>
      <w:hyperlink r:id="rId18" w:history="1">
        <w:r w:rsidR="00B40226" w:rsidRPr="0038689E">
          <w:rPr>
            <w:rStyle w:val="Hyperlink"/>
            <w:rFonts w:ascii="Times New Roman" w:eastAsia="Calibri" w:hAnsi="Times New Roman" w:cs="Times New Roman"/>
            <w:sz w:val="20"/>
            <w:szCs w:val="20"/>
            <w:lang w:val="en-CA"/>
          </w:rPr>
          <w:t>relocation.apo@mcgill.ca</w:t>
        </w:r>
      </w:hyperlink>
      <w:r w:rsidR="00AA33CD" w:rsidRPr="0038689E">
        <w:rPr>
          <w:rFonts w:ascii="Times New Roman" w:eastAsia="Calibri" w:hAnsi="Times New Roman" w:cs="Times New Roman"/>
          <w:sz w:val="20"/>
          <w:szCs w:val="20"/>
          <w:lang w:val="en-CA"/>
        </w:rPr>
        <w:t xml:space="preserve"> </w:t>
      </w:r>
      <w:r w:rsidR="0038689E">
        <w:rPr>
          <w:rFonts w:ascii="Times New Roman" w:eastAsia="Calibri" w:hAnsi="Times New Roman" w:cs="Times New Roman"/>
          <w:sz w:val="20"/>
          <w:szCs w:val="20"/>
          <w:lang w:val="en-CA"/>
        </w:rPr>
        <w:t>should</w:t>
      </w:r>
      <w:r w:rsidRPr="0038689E">
        <w:rPr>
          <w:rFonts w:ascii="Times New Roman" w:eastAsia="Calibri" w:hAnsi="Times New Roman" w:cs="Times New Roman"/>
          <w:sz w:val="20"/>
          <w:szCs w:val="20"/>
          <w:lang w:val="en-CA"/>
        </w:rPr>
        <w:t xml:space="preserve"> you have questions or need assistance.</w:t>
      </w:r>
    </w:p>
    <w:p w14:paraId="5A21970E" w14:textId="77777777" w:rsidR="00493F58" w:rsidRPr="0038689E" w:rsidRDefault="00493F58" w:rsidP="00493F58">
      <w:pPr>
        <w:spacing w:after="0"/>
        <w:rPr>
          <w:rFonts w:ascii="Times New Roman" w:eastAsia="Calibri" w:hAnsi="Times New Roman" w:cs="Times New Roman"/>
          <w:sz w:val="20"/>
          <w:szCs w:val="20"/>
          <w:lang w:val="en-CA"/>
        </w:rPr>
      </w:pPr>
    </w:p>
    <w:p w14:paraId="55ACC7C8" w14:textId="77777777" w:rsidR="00493F58" w:rsidRPr="0038689E" w:rsidRDefault="00493F58" w:rsidP="00292935">
      <w:pPr>
        <w:rPr>
          <w:rFonts w:ascii="Times New Roman" w:eastAsia="Calibri" w:hAnsi="Times New Roman" w:cs="Times New Roman"/>
          <w:b/>
          <w:sz w:val="20"/>
          <w:szCs w:val="20"/>
          <w:lang w:val="en-CA"/>
        </w:rPr>
      </w:pPr>
      <w:r w:rsidRPr="0038689E">
        <w:rPr>
          <w:rFonts w:ascii="Times New Roman" w:eastAsia="Calibri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1A0CF2E2" wp14:editId="0E70C5DC">
                <wp:extent cx="5886450" cy="477982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77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B9E77" w14:textId="39C9EABC" w:rsidR="00EA7D43" w:rsidRPr="006E4B92" w:rsidRDefault="00EA7D43" w:rsidP="00B53D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D15484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Options Appendix Document</w:t>
                            </w:r>
                            <w:r w:rsidR="00DF710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B92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B42ACF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Quebec Tax Holiday</w:t>
                            </w:r>
                            <w:r w:rsidR="00DF710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(reference on page 1 of this template document)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CF2E2" id="_x0000_s1032" type="#_x0000_t202" style="width:463.5pt;height:3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" stroked="f">
                <v:textbox>
                  <w:txbxContent>
                    <w:p w14:paraId="2BFB9E77" w14:textId="39C9EABC" w:rsidR="00EA7D43" w:rsidRPr="006E4B92" w:rsidRDefault="00EA7D43" w:rsidP="00B53D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See </w:t>
                      </w:r>
                      <w:r w:rsidR="00D15484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Options Appendix Document</w:t>
                      </w:r>
                      <w:r w:rsidR="00DF710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6E4B92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for </w:t>
                      </w:r>
                      <w:r w:rsidRPr="00B42ACF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Quebec Tax Holiday</w:t>
                      </w:r>
                      <w:r w:rsidR="00DF710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(reference on page 1 of this template document)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79195F" w14:textId="77777777" w:rsidR="00493F58" w:rsidRPr="0038689E" w:rsidRDefault="00D902F4" w:rsidP="00493F58">
      <w:pPr>
        <w:spacing w:after="0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38689E">
        <w:rPr>
          <w:rFonts w:ascii="Times New Roman" w:eastAsia="Calibri" w:hAnsi="Times New Roman" w:cs="Times New Roman"/>
          <w:b/>
          <w:sz w:val="20"/>
          <w:szCs w:val="20"/>
          <w:lang w:val="en-CA"/>
        </w:rPr>
        <w:t xml:space="preserve">LANGUAGE INSTRUCTIONS </w:t>
      </w:r>
    </w:p>
    <w:p w14:paraId="20CF49EC" w14:textId="4D91B665" w:rsidR="007B4419" w:rsidRPr="0038689E" w:rsidRDefault="00D902F4" w:rsidP="00493F58">
      <w:pPr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sz w:val="20"/>
          <w:szCs w:val="20"/>
        </w:rPr>
        <w:t>You and your spouse</w:t>
      </w:r>
      <w:r w:rsidR="00614736" w:rsidRPr="0038689E">
        <w:rPr>
          <w:rFonts w:ascii="Times New Roman" w:eastAsia="Calibri" w:hAnsi="Times New Roman" w:cs="Times New Roman"/>
          <w:sz w:val="20"/>
          <w:szCs w:val="20"/>
        </w:rPr>
        <w:t>, as applicable,</w:t>
      </w: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 may be eligible for subsidized French instruction through the </w:t>
      </w:r>
      <w:r w:rsidRPr="0038689E">
        <w:rPr>
          <w:rFonts w:ascii="Times New Roman" w:eastAsia="Calibri" w:hAnsi="Times New Roman" w:cs="Times New Roman"/>
          <w:i/>
          <w:sz w:val="20"/>
          <w:szCs w:val="20"/>
        </w:rPr>
        <w:t xml:space="preserve">Mon </w:t>
      </w:r>
      <w:proofErr w:type="spellStart"/>
      <w:r w:rsidR="0022454E" w:rsidRPr="0038689E">
        <w:rPr>
          <w:rFonts w:ascii="Times New Roman" w:eastAsia="Calibri" w:hAnsi="Times New Roman" w:cs="Times New Roman"/>
          <w:i/>
          <w:sz w:val="20"/>
          <w:szCs w:val="20"/>
        </w:rPr>
        <w:t>Français</w:t>
      </w:r>
      <w:proofErr w:type="spellEnd"/>
      <w:r w:rsidRPr="0038689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8689E">
        <w:rPr>
          <w:rFonts w:ascii="Times New Roman" w:eastAsia="Calibri" w:hAnsi="Times New Roman" w:cs="Times New Roman"/>
          <w:sz w:val="20"/>
          <w:szCs w:val="20"/>
        </w:rPr>
        <w:t>Initiative</w:t>
      </w:r>
      <w:r w:rsidR="008F08B0" w:rsidRPr="0038689E">
        <w:rPr>
          <w:rFonts w:ascii="Times New Roman" w:eastAsia="Calibri" w:hAnsi="Times New Roman" w:cs="Times New Roman"/>
          <w:sz w:val="20"/>
          <w:szCs w:val="20"/>
        </w:rPr>
        <w:t>.</w:t>
      </w: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8689E" w:rsidRPr="0038689E">
        <w:rPr>
          <w:rFonts w:ascii="Times New Roman" w:eastAsia="Calibri" w:hAnsi="Times New Roman" w:cs="Times New Roman"/>
          <w:sz w:val="20"/>
          <w:szCs w:val="20"/>
        </w:rPr>
        <w:t xml:space="preserve">For details, please visit the Academic </w:t>
      </w:r>
      <w:r w:rsidR="0038689E">
        <w:rPr>
          <w:rFonts w:ascii="Times New Roman" w:eastAsia="Calibri" w:hAnsi="Times New Roman" w:cs="Times New Roman"/>
          <w:sz w:val="20"/>
          <w:szCs w:val="20"/>
        </w:rPr>
        <w:t>Personnel Office website</w:t>
      </w:r>
      <w:r w:rsidR="0038689E" w:rsidRPr="0038689E">
        <w:rPr>
          <w:rFonts w:ascii="Times New Roman" w:eastAsia="Calibri" w:hAnsi="Times New Roman" w:cs="Times New Roman"/>
          <w:sz w:val="20"/>
          <w:szCs w:val="20"/>
        </w:rPr>
        <w:t xml:space="preserve"> at</w:t>
      </w:r>
      <w:r w:rsidR="008F08B0" w:rsidRPr="0038689E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="008F08B0" w:rsidRPr="0038689E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http://www.mcgill.ca/apo/academic-staff/procedures/language-instruction/</w:t>
        </w:r>
      </w:hyperlink>
      <w:r w:rsidR="008F08B0" w:rsidRPr="0038689E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9CB00D6" w14:textId="3F9E09A4" w:rsidR="003361F6" w:rsidRPr="0038689E" w:rsidRDefault="003361F6" w:rsidP="003361F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38689E">
        <w:rPr>
          <w:rFonts w:ascii="Times New Roman" w:eastAsia="Calibri" w:hAnsi="Times New Roman" w:cs="Times New Roman"/>
          <w:b/>
          <w:sz w:val="20"/>
          <w:szCs w:val="20"/>
        </w:rPr>
        <w:t>McGILL</w:t>
      </w:r>
      <w:proofErr w:type="spellEnd"/>
      <w:r w:rsidRPr="0038689E">
        <w:rPr>
          <w:rFonts w:ascii="Times New Roman" w:eastAsia="Calibri" w:hAnsi="Times New Roman" w:cs="Times New Roman"/>
          <w:b/>
          <w:sz w:val="20"/>
          <w:szCs w:val="20"/>
        </w:rPr>
        <w:t xml:space="preserve"> EMAIL</w:t>
      </w:r>
    </w:p>
    <w:p w14:paraId="5B6BA297" w14:textId="518EC4E8" w:rsidR="003361F6" w:rsidRPr="0038689E" w:rsidRDefault="003361F6" w:rsidP="003361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The </w:t>
      </w:r>
      <w:r w:rsidR="00162AF0" w:rsidRPr="0038689E">
        <w:rPr>
          <w:rFonts w:ascii="Times New Roman" w:eastAsia="Calibri" w:hAnsi="Times New Roman" w:cs="Times New Roman"/>
          <w:sz w:val="20"/>
          <w:szCs w:val="20"/>
        </w:rPr>
        <w:t xml:space="preserve">University and the </w:t>
      </w: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Faculty of </w:t>
      </w:r>
      <w:r w:rsidRPr="0038689E">
        <w:rPr>
          <w:rFonts w:ascii="Times New Roman" w:eastAsia="Calibri" w:hAnsi="Times New Roman" w:cs="Times New Roman"/>
          <w:sz w:val="20"/>
          <w:szCs w:val="20"/>
          <w:highlight w:val="lightGray"/>
        </w:rPr>
        <w:t>&lt;FACULTY&gt;</w:t>
      </w: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 communicate with faculty members by email addressed to their McGill e-mail address (firstname.lastname@mcgill.ca).  Once your appointment has bee</w:t>
      </w:r>
      <w:r w:rsidR="0038689E">
        <w:rPr>
          <w:rFonts w:ascii="Times New Roman" w:eastAsia="Calibri" w:hAnsi="Times New Roman" w:cs="Times New Roman"/>
          <w:sz w:val="20"/>
          <w:szCs w:val="20"/>
        </w:rPr>
        <w:t>n processed, you will receive e</w:t>
      </w:r>
      <w:r w:rsidRPr="0038689E">
        <w:rPr>
          <w:rFonts w:ascii="Times New Roman" w:eastAsia="Calibri" w:hAnsi="Times New Roman" w:cs="Times New Roman"/>
          <w:sz w:val="20"/>
          <w:szCs w:val="20"/>
        </w:rPr>
        <w:t>mail notifications to your personal email account with instructions on how to access the McGill email account.</w:t>
      </w:r>
    </w:p>
    <w:p w14:paraId="5D2A7535" w14:textId="77777777" w:rsidR="003361F6" w:rsidRPr="0038689E" w:rsidRDefault="003361F6" w:rsidP="007B44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5DDCBED" w14:textId="02B9145D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sz w:val="20"/>
          <w:szCs w:val="20"/>
        </w:rPr>
        <w:t>This letter is a conditional letter of offer.  Upon receiving your written acceptance of this offer, we will recommend your appointment to the Provost</w:t>
      </w:r>
      <w:r w:rsidR="008F08B0" w:rsidRPr="0038689E">
        <w:rPr>
          <w:rFonts w:ascii="Times New Roman" w:eastAsia="Calibri" w:hAnsi="Times New Roman" w:cs="Times New Roman"/>
          <w:sz w:val="20"/>
          <w:szCs w:val="20"/>
        </w:rPr>
        <w:t xml:space="preserve"> and </w:t>
      </w:r>
      <w:r w:rsidR="00E5630B" w:rsidRPr="0038689E">
        <w:rPr>
          <w:rFonts w:ascii="Times New Roman" w:eastAsia="Calibri" w:hAnsi="Times New Roman" w:cs="Times New Roman"/>
          <w:sz w:val="20"/>
          <w:szCs w:val="20"/>
        </w:rPr>
        <w:t>V</w:t>
      </w:r>
      <w:r w:rsidR="008F08B0" w:rsidRPr="0038689E">
        <w:rPr>
          <w:rFonts w:ascii="Times New Roman" w:eastAsia="Calibri" w:hAnsi="Times New Roman" w:cs="Times New Roman"/>
          <w:sz w:val="20"/>
          <w:szCs w:val="20"/>
        </w:rPr>
        <w:t xml:space="preserve">ice-Principal </w:t>
      </w:r>
      <w:r w:rsidR="008F13EA" w:rsidRPr="0038689E">
        <w:rPr>
          <w:rFonts w:ascii="Times New Roman" w:eastAsia="Calibri" w:hAnsi="Times New Roman" w:cs="Times New Roman"/>
          <w:sz w:val="20"/>
          <w:szCs w:val="20"/>
        </w:rPr>
        <w:t>(</w:t>
      </w:r>
      <w:r w:rsidR="008F08B0" w:rsidRPr="0038689E">
        <w:rPr>
          <w:rFonts w:ascii="Times New Roman" w:eastAsia="Calibri" w:hAnsi="Times New Roman" w:cs="Times New Roman"/>
          <w:sz w:val="20"/>
          <w:szCs w:val="20"/>
        </w:rPr>
        <w:t>Academic</w:t>
      </w:r>
      <w:r w:rsidR="008F13EA" w:rsidRPr="0038689E">
        <w:rPr>
          <w:rFonts w:ascii="Times New Roman" w:eastAsia="Calibri" w:hAnsi="Times New Roman" w:cs="Times New Roman"/>
          <w:sz w:val="20"/>
          <w:szCs w:val="20"/>
        </w:rPr>
        <w:t>)</w:t>
      </w:r>
      <w:r w:rsidR="008F08B0" w:rsidRPr="0038689E">
        <w:rPr>
          <w:rFonts w:ascii="Times New Roman" w:eastAsia="Calibri" w:hAnsi="Times New Roman" w:cs="Times New Roman"/>
          <w:sz w:val="20"/>
          <w:szCs w:val="20"/>
        </w:rPr>
        <w:t>.</w:t>
      </w: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 I ask that you please indicate your acceptance by returning a signed copy of this letter no later than </w:t>
      </w:r>
      <w:r w:rsidRPr="0038689E">
        <w:rPr>
          <w:rFonts w:ascii="Times New Roman" w:eastAsia="Calibri" w:hAnsi="Times New Roman" w:cs="Times New Roman"/>
          <w:sz w:val="20"/>
          <w:szCs w:val="20"/>
          <w:highlight w:val="lightGray"/>
        </w:rPr>
        <w:t>&lt;DATE&gt;.</w:t>
      </w: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  Appointments do not become official until confirmed in writing by the </w:t>
      </w:r>
      <w:r w:rsidR="008F13EA" w:rsidRPr="0038689E">
        <w:rPr>
          <w:rFonts w:ascii="Times New Roman" w:eastAsia="Calibri" w:hAnsi="Times New Roman" w:cs="Times New Roman"/>
          <w:sz w:val="20"/>
          <w:szCs w:val="20"/>
        </w:rPr>
        <w:t>Provost and Vice-Principal (Academic)</w:t>
      </w: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 on behalf of the McGill University Board of Governors.</w:t>
      </w:r>
    </w:p>
    <w:p w14:paraId="08E53717" w14:textId="77777777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C7F27B9" w14:textId="77777777" w:rsidR="006508E6" w:rsidRPr="0038689E" w:rsidRDefault="006508E6" w:rsidP="007B4419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38689E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Closure as deemed appropriate.</w:t>
      </w:r>
    </w:p>
    <w:p w14:paraId="2941358B" w14:textId="77777777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5AFD197" w14:textId="77777777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lightGray"/>
        </w:rPr>
      </w:pPr>
      <w:r w:rsidRPr="0038689E">
        <w:rPr>
          <w:rFonts w:ascii="Times New Roman" w:eastAsia="Calibri" w:hAnsi="Times New Roman" w:cs="Times New Roman"/>
          <w:sz w:val="20"/>
          <w:szCs w:val="20"/>
          <w:highlight w:val="lightGray"/>
        </w:rPr>
        <w:t>&lt;SIGNATORY’S NAME&gt;</w:t>
      </w:r>
    </w:p>
    <w:p w14:paraId="05085B43" w14:textId="77777777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sz w:val="20"/>
          <w:szCs w:val="20"/>
          <w:highlight w:val="lightGray"/>
        </w:rPr>
        <w:t>Chair/Director/Dean</w:t>
      </w:r>
    </w:p>
    <w:p w14:paraId="2CA1BECE" w14:textId="77777777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5421B7C8" w14:textId="77777777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cc: </w:t>
      </w:r>
      <w:r w:rsidRPr="0038689E">
        <w:rPr>
          <w:rFonts w:ascii="Times New Roman" w:eastAsia="Calibri" w:hAnsi="Times New Roman" w:cs="Times New Roman"/>
          <w:sz w:val="20"/>
          <w:szCs w:val="20"/>
        </w:rPr>
        <w:tab/>
        <w:t xml:space="preserve">Dean </w:t>
      </w:r>
      <w:r w:rsidRPr="0038689E">
        <w:rPr>
          <w:rFonts w:ascii="Times New Roman" w:eastAsia="Calibri" w:hAnsi="Times New Roman" w:cs="Times New Roman"/>
          <w:sz w:val="20"/>
          <w:szCs w:val="20"/>
          <w:highlight w:val="lightGray"/>
        </w:rPr>
        <w:t>&lt;DEAN’S NAME&gt;,</w:t>
      </w: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 Faculty of </w:t>
      </w:r>
      <w:r w:rsidRPr="0038689E">
        <w:rPr>
          <w:rFonts w:ascii="Times New Roman" w:eastAsia="Calibri" w:hAnsi="Times New Roman" w:cs="Times New Roman"/>
          <w:sz w:val="20"/>
          <w:szCs w:val="20"/>
          <w:highlight w:val="lightGray"/>
        </w:rPr>
        <w:t>&lt;FACULTY&gt; (for letters signed by Chair or Director)</w:t>
      </w:r>
    </w:p>
    <w:p w14:paraId="2C94506B" w14:textId="77777777" w:rsidR="00E5630B" w:rsidRPr="0038689E" w:rsidRDefault="00E5630B" w:rsidP="00E5630B">
      <w:pPr>
        <w:spacing w:after="0" w:line="240" w:lineRule="auto"/>
        <w:ind w:firstLine="720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38689E">
        <w:rPr>
          <w:rFonts w:ascii="Times New Roman" w:eastAsia="Calibri" w:hAnsi="Times New Roman" w:cs="Times New Roman"/>
          <w:sz w:val="20"/>
          <w:szCs w:val="20"/>
          <w:highlight w:val="lightGray"/>
        </w:rPr>
        <w:t>Vice-Dean &lt;DEAN’S NAME&gt; Academic Affairs, Faculty of Medicine</w:t>
      </w:r>
    </w:p>
    <w:p w14:paraId="50DDEDC4" w14:textId="18E5BFB8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color w:val="FF0000"/>
          <w:sz w:val="20"/>
          <w:szCs w:val="20"/>
        </w:rPr>
        <w:tab/>
      </w:r>
      <w:r w:rsidRPr="0038689E">
        <w:rPr>
          <w:rFonts w:ascii="Times New Roman" w:eastAsia="Calibri" w:hAnsi="Times New Roman" w:cs="Times New Roman"/>
          <w:sz w:val="20"/>
          <w:szCs w:val="20"/>
        </w:rPr>
        <w:t>Christopher Manfredi, Provost</w:t>
      </w:r>
      <w:r w:rsidR="00D940E3" w:rsidRPr="003868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265E2" w:rsidRPr="0038689E">
        <w:rPr>
          <w:rFonts w:ascii="Times New Roman" w:eastAsia="Calibri" w:hAnsi="Times New Roman" w:cs="Times New Roman"/>
          <w:sz w:val="20"/>
          <w:szCs w:val="20"/>
        </w:rPr>
        <w:t>&amp;</w:t>
      </w:r>
      <w:r w:rsidR="00D940E3" w:rsidRPr="003868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5630B" w:rsidRPr="0038689E">
        <w:rPr>
          <w:rFonts w:ascii="Times New Roman" w:eastAsia="Calibri" w:hAnsi="Times New Roman" w:cs="Times New Roman"/>
          <w:sz w:val="20"/>
          <w:szCs w:val="20"/>
        </w:rPr>
        <w:t>Vice</w:t>
      </w:r>
      <w:r w:rsidR="00D940E3" w:rsidRPr="0038689E">
        <w:rPr>
          <w:rFonts w:ascii="Times New Roman" w:eastAsia="Calibri" w:hAnsi="Times New Roman" w:cs="Times New Roman"/>
          <w:sz w:val="20"/>
          <w:szCs w:val="20"/>
        </w:rPr>
        <w:t>-</w:t>
      </w:r>
      <w:r w:rsidR="00E5630B" w:rsidRPr="0038689E">
        <w:rPr>
          <w:rFonts w:ascii="Times New Roman" w:eastAsia="Calibri" w:hAnsi="Times New Roman" w:cs="Times New Roman"/>
          <w:sz w:val="20"/>
          <w:szCs w:val="20"/>
        </w:rPr>
        <w:t xml:space="preserve">Principal </w:t>
      </w:r>
      <w:r w:rsidR="008F13EA" w:rsidRPr="0038689E">
        <w:rPr>
          <w:rFonts w:ascii="Times New Roman" w:eastAsia="Calibri" w:hAnsi="Times New Roman" w:cs="Times New Roman"/>
          <w:sz w:val="20"/>
          <w:szCs w:val="20"/>
        </w:rPr>
        <w:t>(</w:t>
      </w:r>
      <w:r w:rsidR="00E5630B" w:rsidRPr="0038689E">
        <w:rPr>
          <w:rFonts w:ascii="Times New Roman" w:eastAsia="Calibri" w:hAnsi="Times New Roman" w:cs="Times New Roman"/>
          <w:sz w:val="20"/>
          <w:szCs w:val="20"/>
        </w:rPr>
        <w:t>Academic</w:t>
      </w:r>
      <w:r w:rsidR="008F13EA" w:rsidRPr="0038689E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CF74A52" w14:textId="46F06E84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sz w:val="20"/>
          <w:szCs w:val="20"/>
        </w:rPr>
        <w:tab/>
        <w:t>Ghyslaine McCl</w:t>
      </w:r>
      <w:r w:rsidR="00465B75" w:rsidRPr="0038689E">
        <w:rPr>
          <w:rFonts w:ascii="Times New Roman" w:eastAsia="Calibri" w:hAnsi="Times New Roman" w:cs="Times New Roman"/>
          <w:sz w:val="20"/>
          <w:szCs w:val="20"/>
        </w:rPr>
        <w:t>ure, Associate Provost (</w:t>
      </w:r>
      <w:r w:rsidR="007265E2" w:rsidRPr="0038689E">
        <w:rPr>
          <w:rFonts w:ascii="Times New Roman" w:eastAsia="Calibri" w:hAnsi="Times New Roman" w:cs="Times New Roman"/>
          <w:sz w:val="20"/>
          <w:szCs w:val="20"/>
        </w:rPr>
        <w:t>Academic Priorities &amp; Resource Allocations</w:t>
      </w:r>
      <w:r w:rsidRPr="0038689E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5EB2EFD" w14:textId="77777777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sz w:val="20"/>
          <w:szCs w:val="20"/>
        </w:rPr>
        <w:tab/>
        <w:t>Academic Personnel Office</w:t>
      </w:r>
    </w:p>
    <w:p w14:paraId="7E7A08CC" w14:textId="77777777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F34621A" w14:textId="77777777" w:rsidR="007B4419" w:rsidRPr="0038689E" w:rsidRDefault="007B4419" w:rsidP="007B44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B79E3C2" w14:textId="3B4D8A33" w:rsidR="001D2EFA" w:rsidRPr="0038689E" w:rsidRDefault="007B4419" w:rsidP="00162A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I, </w:t>
      </w:r>
      <w:r w:rsidRPr="0038689E">
        <w:rPr>
          <w:rFonts w:ascii="Times New Roman" w:eastAsia="Calibri" w:hAnsi="Times New Roman" w:cs="Times New Roman"/>
          <w:sz w:val="20"/>
          <w:szCs w:val="20"/>
          <w:highlight w:val="lightGray"/>
        </w:rPr>
        <w:t>&lt;FULL NAME&gt;,</w:t>
      </w:r>
      <w:r w:rsidR="0038689E">
        <w:rPr>
          <w:rFonts w:ascii="Times New Roman" w:eastAsia="Calibri" w:hAnsi="Times New Roman" w:cs="Times New Roman"/>
          <w:sz w:val="20"/>
          <w:szCs w:val="20"/>
        </w:rPr>
        <w:t xml:space="preserve"> __________________________</w:t>
      </w:r>
      <w:r w:rsidRPr="0038689E">
        <w:rPr>
          <w:rFonts w:ascii="Times New Roman" w:eastAsia="Calibri" w:hAnsi="Times New Roman" w:cs="Times New Roman"/>
          <w:sz w:val="20"/>
          <w:szCs w:val="20"/>
        </w:rPr>
        <w:t xml:space="preserve"> ac</w:t>
      </w:r>
      <w:r w:rsidR="0038689E">
        <w:rPr>
          <w:rFonts w:ascii="Times New Roman" w:eastAsia="Calibri" w:hAnsi="Times New Roman" w:cs="Times New Roman"/>
          <w:sz w:val="20"/>
          <w:szCs w:val="20"/>
        </w:rPr>
        <w:t xml:space="preserve">cept the terms herein on (date) </w:t>
      </w:r>
      <w:r w:rsidRPr="0038689E">
        <w:rPr>
          <w:rFonts w:ascii="Times New Roman" w:eastAsia="Calibri" w:hAnsi="Times New Roman" w:cs="Times New Roman"/>
          <w:sz w:val="20"/>
          <w:szCs w:val="20"/>
        </w:rPr>
        <w:t>_______________________.</w:t>
      </w:r>
    </w:p>
    <w:sectPr w:rsidR="001D2EFA" w:rsidRPr="0038689E" w:rsidSect="0009327D">
      <w:headerReference w:type="default" r:id="rId20"/>
      <w:footerReference w:type="default" r:id="rId21"/>
      <w:head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96FC9" w14:textId="77777777" w:rsidR="001C5E46" w:rsidRDefault="001C5E46" w:rsidP="007B4419">
      <w:pPr>
        <w:spacing w:after="0" w:line="240" w:lineRule="auto"/>
      </w:pPr>
      <w:r>
        <w:separator/>
      </w:r>
    </w:p>
  </w:endnote>
  <w:endnote w:type="continuationSeparator" w:id="0">
    <w:p w14:paraId="733F0EAF" w14:textId="77777777" w:rsidR="001C5E46" w:rsidRDefault="001C5E46" w:rsidP="007B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546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BFFB6" w14:textId="77777777" w:rsidR="00EA7D43" w:rsidRDefault="00EA7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8D9567" w14:textId="77777777" w:rsidR="00EA7D43" w:rsidRDefault="00EA7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CEDA2" w14:textId="77777777" w:rsidR="001C5E46" w:rsidRDefault="001C5E46" w:rsidP="007B4419">
      <w:pPr>
        <w:spacing w:after="0" w:line="240" w:lineRule="auto"/>
      </w:pPr>
      <w:r>
        <w:separator/>
      </w:r>
    </w:p>
  </w:footnote>
  <w:footnote w:type="continuationSeparator" w:id="0">
    <w:p w14:paraId="11B93264" w14:textId="77777777" w:rsidR="001C5E46" w:rsidRDefault="001C5E46" w:rsidP="007B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233D9" w14:textId="66FA96A8" w:rsidR="00EA7D43" w:rsidRDefault="00EA7D43">
    <w:pPr>
      <w:pStyle w:val="Header"/>
      <w:jc w:val="right"/>
    </w:pPr>
  </w:p>
  <w:p w14:paraId="723BCFF0" w14:textId="77777777" w:rsidR="00EA7D43" w:rsidRDefault="00EA7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2" w:type="dxa"/>
      <w:tblInd w:w="-713" w:type="dxa"/>
      <w:tblLayout w:type="fixed"/>
      <w:tblLook w:val="0000" w:firstRow="0" w:lastRow="0" w:firstColumn="0" w:lastColumn="0" w:noHBand="0" w:noVBand="0"/>
    </w:tblPr>
    <w:tblGrid>
      <w:gridCol w:w="713"/>
      <w:gridCol w:w="2410"/>
      <w:gridCol w:w="699"/>
      <w:gridCol w:w="3420"/>
      <w:gridCol w:w="3420"/>
    </w:tblGrid>
    <w:tr w:rsidR="00A76788" w:rsidRPr="00A76788" w14:paraId="0BABC88D" w14:textId="77777777" w:rsidTr="00A76788">
      <w:tc>
        <w:tcPr>
          <w:tcW w:w="3123" w:type="dxa"/>
          <w:gridSpan w:val="2"/>
        </w:tcPr>
        <w:p w14:paraId="2D7CD861" w14:textId="77777777" w:rsidR="00A76788" w:rsidRPr="00A76788" w:rsidRDefault="00A76788" w:rsidP="00A76788">
          <w:pPr>
            <w:widowControl w:val="0"/>
            <w:spacing w:after="0" w:line="240" w:lineRule="auto"/>
            <w:ind w:left="-108"/>
            <w:rPr>
              <w:rFonts w:ascii="Times New Roman" w:eastAsia="Times New Roman" w:hAnsi="Times New Roman" w:cs="Times New Roman"/>
              <w:snapToGrid w:val="0"/>
              <w:sz w:val="24"/>
              <w:szCs w:val="20"/>
            </w:rPr>
          </w:pPr>
          <w:r w:rsidRPr="00A76788">
            <w:rPr>
              <w:rFonts w:ascii="Arial" w:eastAsia="Times New Roman" w:hAnsi="Arial" w:cs="Arial"/>
              <w:noProof/>
              <w:sz w:val="24"/>
              <w:szCs w:val="20"/>
              <w:lang w:val="en-CA" w:eastAsia="en-CA"/>
            </w:rPr>
            <w:drawing>
              <wp:inline distT="0" distB="0" distL="0" distR="0" wp14:anchorId="39B80A21" wp14:editId="64695819">
                <wp:extent cx="1828800" cy="436880"/>
                <wp:effectExtent l="0" t="0" r="0" b="0"/>
                <wp:docPr id="10" name="Picture 10" descr="mcgcr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cgcr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9" w:type="dxa"/>
          <w:gridSpan w:val="3"/>
        </w:tcPr>
        <w:p w14:paraId="2494DF3C" w14:textId="6BDB5369" w:rsidR="00A76788" w:rsidRDefault="004F6C4C" w:rsidP="0052524D">
          <w:pPr>
            <w:keepNext/>
            <w:widowControl w:val="0"/>
            <w:tabs>
              <w:tab w:val="right" w:pos="8789"/>
            </w:tabs>
            <w:spacing w:after="0" w:line="240" w:lineRule="auto"/>
            <w:jc w:val="right"/>
            <w:outlineLvl w:val="0"/>
            <w:rPr>
              <w:rFonts w:ascii="Arial" w:eastAsia="Times New Roman" w:hAnsi="Arial" w:cs="Arial"/>
              <w:bCs/>
              <w:snapToGrid w:val="0"/>
              <w:sz w:val="20"/>
              <w:szCs w:val="20"/>
              <w:lang w:val="en-GB"/>
            </w:rPr>
          </w:pPr>
          <w:r w:rsidRPr="004F6C4C">
            <w:rPr>
              <w:rFonts w:ascii="Arial" w:eastAsia="Times New Roman" w:hAnsi="Arial" w:cs="Arial"/>
              <w:b/>
              <w:bCs/>
              <w:snapToGrid w:val="0"/>
              <w:sz w:val="32"/>
              <w:szCs w:val="32"/>
              <w:lang w:val="en-GB"/>
            </w:rPr>
            <w:t>Template Offer Letter TT Regular (v. 09)</w:t>
          </w:r>
        </w:p>
        <w:p w14:paraId="30BB6573" w14:textId="3092DFA8" w:rsidR="00D15484" w:rsidRDefault="00D15484" w:rsidP="0052524D">
          <w:pPr>
            <w:keepNext/>
            <w:widowControl w:val="0"/>
            <w:tabs>
              <w:tab w:val="right" w:pos="8789"/>
            </w:tabs>
            <w:spacing w:after="0" w:line="240" w:lineRule="auto"/>
            <w:jc w:val="right"/>
            <w:outlineLvl w:val="0"/>
            <w:rPr>
              <w:rFonts w:ascii="Arial" w:eastAsia="Times New Roman" w:hAnsi="Arial" w:cs="Arial"/>
              <w:bCs/>
              <w:snapToGrid w:val="0"/>
              <w:sz w:val="20"/>
              <w:szCs w:val="20"/>
              <w:lang w:val="en-GB"/>
            </w:rPr>
          </w:pPr>
          <w:r>
            <w:rPr>
              <w:rFonts w:ascii="Arial" w:eastAsia="Times New Roman" w:hAnsi="Arial" w:cs="Arial"/>
              <w:bCs/>
              <w:snapToGrid w:val="0"/>
              <w:sz w:val="20"/>
              <w:szCs w:val="20"/>
              <w:lang w:val="en-GB"/>
            </w:rPr>
            <w:t>Use in tandem with the</w:t>
          </w:r>
          <w:r w:rsidR="0085082D">
            <w:rPr>
              <w:rFonts w:ascii="Arial" w:eastAsia="Times New Roman" w:hAnsi="Arial" w:cs="Arial"/>
              <w:bCs/>
              <w:snapToGrid w:val="0"/>
              <w:sz w:val="20"/>
              <w:szCs w:val="20"/>
              <w:lang w:val="en-GB"/>
            </w:rPr>
            <w:t xml:space="preserve"> most current version of the:</w:t>
          </w:r>
        </w:p>
        <w:p w14:paraId="2985C38D" w14:textId="3504B26B" w:rsidR="00D15484" w:rsidRPr="00A76788" w:rsidRDefault="004F6C4C" w:rsidP="0085082D">
          <w:pPr>
            <w:keepNext/>
            <w:widowControl w:val="0"/>
            <w:tabs>
              <w:tab w:val="right" w:pos="8789"/>
            </w:tabs>
            <w:spacing w:after="0" w:line="240" w:lineRule="auto"/>
            <w:jc w:val="right"/>
            <w:outlineLvl w:val="0"/>
            <w:rPr>
              <w:rFonts w:ascii="Arial" w:eastAsia="Times New Roman" w:hAnsi="Arial" w:cs="Arial"/>
              <w:b/>
              <w:bCs/>
              <w:snapToGrid w:val="0"/>
              <w:sz w:val="32"/>
              <w:szCs w:val="32"/>
              <w:lang w:val="en-GB"/>
            </w:rPr>
          </w:pPr>
          <w:r w:rsidRPr="004F6C4C">
            <w:rPr>
              <w:i/>
              <w:color w:val="2E74B5" w:themeColor="accent1" w:themeShade="BF"/>
              <w:sz w:val="20"/>
              <w:szCs w:val="20"/>
            </w:rPr>
            <w:t>Options Document for Template Offer Letter TT Regular Appendix (v.09)</w:t>
          </w:r>
        </w:p>
      </w:tc>
    </w:tr>
    <w:tr w:rsidR="00A76788" w:rsidRPr="00826246" w14:paraId="0CF90C2A" w14:textId="77777777" w:rsidTr="00A76788">
      <w:trPr>
        <w:gridBefore w:val="1"/>
        <w:wBefore w:w="713" w:type="dxa"/>
      </w:trPr>
      <w:tc>
        <w:tcPr>
          <w:tcW w:w="9949" w:type="dxa"/>
          <w:gridSpan w:val="4"/>
        </w:tcPr>
        <w:p w14:paraId="583971E8" w14:textId="77777777" w:rsidR="00A76788" w:rsidRPr="00A76788" w:rsidRDefault="00A76788" w:rsidP="00A76788">
          <w:pPr>
            <w:widowControl w:val="0"/>
            <w:spacing w:before="240" w:after="0" w:line="240" w:lineRule="auto"/>
            <w:ind w:left="-108" w:right="1009"/>
            <w:jc w:val="both"/>
            <w:rPr>
              <w:rFonts w:ascii="Times New Roman" w:eastAsia="Times New Roman" w:hAnsi="Times New Roman" w:cs="Times New Roman"/>
              <w:b/>
              <w:snapToGrid w:val="0"/>
              <w:color w:val="808080"/>
              <w:sz w:val="17"/>
              <w:szCs w:val="17"/>
              <w:lang w:val="fr-CA"/>
            </w:rPr>
          </w:pPr>
          <w:proofErr w:type="spellStart"/>
          <w:r w:rsidRPr="00A76788">
            <w:rPr>
              <w:rFonts w:ascii="Arial" w:eastAsia="Times New Roman" w:hAnsi="Arial" w:cs="Times New Roman"/>
              <w:b/>
              <w:snapToGrid w:val="0"/>
              <w:color w:val="808080"/>
              <w:sz w:val="17"/>
              <w:szCs w:val="17"/>
              <w:lang w:val="fr-CA"/>
            </w:rPr>
            <w:t>Your</w:t>
          </w:r>
          <w:proofErr w:type="spellEnd"/>
          <w:r w:rsidRPr="00A76788">
            <w:rPr>
              <w:rFonts w:ascii="Arial" w:eastAsia="Times New Roman" w:hAnsi="Arial" w:cs="Times New Roman"/>
              <w:b/>
              <w:snapToGrid w:val="0"/>
              <w:color w:val="808080"/>
              <w:sz w:val="17"/>
              <w:szCs w:val="17"/>
              <w:lang w:val="fr-CA"/>
            </w:rPr>
            <w:t xml:space="preserve"> </w:t>
          </w:r>
          <w:proofErr w:type="spellStart"/>
          <w:r w:rsidRPr="00A76788">
            <w:rPr>
              <w:rFonts w:ascii="Arial" w:eastAsia="Times New Roman" w:hAnsi="Arial" w:cs="Times New Roman"/>
              <w:b/>
              <w:snapToGrid w:val="0"/>
              <w:color w:val="808080"/>
              <w:sz w:val="17"/>
              <w:szCs w:val="17"/>
              <w:lang w:val="fr-CA"/>
            </w:rPr>
            <w:t>Department</w:t>
          </w:r>
          <w:proofErr w:type="spellEnd"/>
          <w:r w:rsidRPr="00A76788">
            <w:rPr>
              <w:rFonts w:ascii="Arial" w:eastAsia="Times New Roman" w:hAnsi="Arial" w:cs="Times New Roman"/>
              <w:b/>
              <w:snapToGrid w:val="0"/>
              <w:color w:val="808080"/>
              <w:sz w:val="17"/>
              <w:szCs w:val="17"/>
              <w:lang w:val="fr-CA"/>
            </w:rPr>
            <w:t xml:space="preserve"> Name</w:t>
          </w:r>
        </w:p>
        <w:p w14:paraId="2ED3C353" w14:textId="77777777" w:rsidR="00A76788" w:rsidRPr="00A76788" w:rsidRDefault="00A76788" w:rsidP="00A76788">
          <w:pPr>
            <w:widowControl w:val="0"/>
            <w:spacing w:after="0" w:line="240" w:lineRule="auto"/>
            <w:ind w:left="-108"/>
            <w:rPr>
              <w:rFonts w:ascii="Times New Roman" w:eastAsia="Times New Roman" w:hAnsi="Times New Roman" w:cs="Times New Roman"/>
              <w:b/>
              <w:snapToGrid w:val="0"/>
              <w:color w:val="808080"/>
              <w:sz w:val="18"/>
              <w:szCs w:val="18"/>
              <w:lang w:val="fr-CA"/>
            </w:rPr>
          </w:pPr>
          <w:r w:rsidRPr="00A76788">
            <w:rPr>
              <w:rFonts w:ascii="Arial" w:eastAsia="Times New Roman" w:hAnsi="Arial" w:cs="Times New Roman"/>
              <w:b/>
              <w:snapToGrid w:val="0"/>
              <w:color w:val="808080"/>
              <w:sz w:val="17"/>
              <w:szCs w:val="17"/>
              <w:lang w:val="fr-CA"/>
            </w:rPr>
            <w:t>Nom de votre département</w:t>
          </w:r>
        </w:p>
      </w:tc>
    </w:tr>
    <w:tr w:rsidR="00A76788" w:rsidRPr="00826246" w14:paraId="30148F7C" w14:textId="77777777" w:rsidTr="00A76788">
      <w:trPr>
        <w:gridBefore w:val="1"/>
        <w:wBefore w:w="713" w:type="dxa"/>
      </w:trPr>
      <w:tc>
        <w:tcPr>
          <w:tcW w:w="3109" w:type="dxa"/>
          <w:gridSpan w:val="2"/>
        </w:tcPr>
        <w:p w14:paraId="495465E6" w14:textId="77777777" w:rsidR="00A76788" w:rsidRPr="00A76788" w:rsidRDefault="00A76788" w:rsidP="00A76788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napToGrid w:val="0"/>
              <w:sz w:val="16"/>
              <w:szCs w:val="20"/>
              <w:lang w:val="fr-CA"/>
            </w:rPr>
          </w:pPr>
        </w:p>
      </w:tc>
      <w:tc>
        <w:tcPr>
          <w:tcW w:w="3420" w:type="dxa"/>
        </w:tcPr>
        <w:p w14:paraId="45D5FCB3" w14:textId="77777777" w:rsidR="00A76788" w:rsidRPr="00A76788" w:rsidRDefault="00A76788" w:rsidP="00A76788">
          <w:pPr>
            <w:widowControl w:val="0"/>
            <w:spacing w:after="0" w:line="240" w:lineRule="auto"/>
            <w:ind w:right="-18"/>
            <w:rPr>
              <w:rFonts w:ascii="Times New Roman" w:eastAsia="Times New Roman" w:hAnsi="Times New Roman" w:cs="Times New Roman"/>
              <w:snapToGrid w:val="0"/>
              <w:sz w:val="16"/>
              <w:szCs w:val="20"/>
              <w:lang w:val="fr-CA"/>
            </w:rPr>
          </w:pPr>
        </w:p>
      </w:tc>
      <w:tc>
        <w:tcPr>
          <w:tcW w:w="3420" w:type="dxa"/>
        </w:tcPr>
        <w:p w14:paraId="3D4C3831" w14:textId="77777777" w:rsidR="00A76788" w:rsidRPr="00A76788" w:rsidRDefault="00A76788" w:rsidP="00A76788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napToGrid w:val="0"/>
              <w:sz w:val="16"/>
              <w:szCs w:val="20"/>
              <w:lang w:val="fr-CA"/>
            </w:rPr>
          </w:pPr>
        </w:p>
      </w:tc>
    </w:tr>
    <w:tr w:rsidR="00A76788" w:rsidRPr="00826246" w14:paraId="01E140CA" w14:textId="77777777" w:rsidTr="00A76788">
      <w:trPr>
        <w:gridBefore w:val="1"/>
        <w:wBefore w:w="713" w:type="dxa"/>
      </w:trPr>
      <w:tc>
        <w:tcPr>
          <w:tcW w:w="3109" w:type="dxa"/>
          <w:gridSpan w:val="2"/>
        </w:tcPr>
        <w:p w14:paraId="1FD1602A" w14:textId="77777777" w:rsidR="00A76788" w:rsidRPr="00A76788" w:rsidRDefault="00A76788" w:rsidP="00A76788">
          <w:pPr>
            <w:widowControl w:val="0"/>
            <w:spacing w:after="0" w:line="240" w:lineRule="auto"/>
            <w:ind w:left="-108"/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</w:rPr>
          </w:pPr>
          <w:r w:rsidRPr="00A76788"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</w:rPr>
            <w:t>McGill University</w:t>
          </w:r>
        </w:p>
        <w:p w14:paraId="3E62F61D" w14:textId="77777777" w:rsidR="00A76788" w:rsidRPr="00A76788" w:rsidRDefault="00A76788" w:rsidP="00A76788">
          <w:pPr>
            <w:widowControl w:val="0"/>
            <w:spacing w:after="0" w:line="240" w:lineRule="auto"/>
            <w:ind w:left="-108"/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</w:rPr>
          </w:pPr>
          <w:r w:rsidRPr="00A76788"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</w:rPr>
            <w:t>Building Name</w:t>
          </w:r>
        </w:p>
        <w:p w14:paraId="75887B9E" w14:textId="77777777" w:rsidR="00A76788" w:rsidRPr="00A76788" w:rsidRDefault="00A76788" w:rsidP="00A76788">
          <w:pPr>
            <w:widowControl w:val="0"/>
            <w:spacing w:after="0" w:line="240" w:lineRule="auto"/>
            <w:ind w:left="-108"/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</w:rPr>
          </w:pPr>
          <w:r w:rsidRPr="00A76788"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</w:rPr>
            <w:t xml:space="preserve">### </w:t>
          </w:r>
          <w:proofErr w:type="spellStart"/>
          <w:r w:rsidRPr="00A76788"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</w:rPr>
            <w:t>Streetname</w:t>
          </w:r>
          <w:proofErr w:type="spellEnd"/>
        </w:p>
        <w:p w14:paraId="0FFB4860" w14:textId="77777777" w:rsidR="00A76788" w:rsidRPr="00A76788" w:rsidRDefault="00A76788" w:rsidP="00A76788">
          <w:pPr>
            <w:widowControl w:val="0"/>
            <w:spacing w:after="0" w:line="240" w:lineRule="auto"/>
            <w:ind w:left="-108"/>
            <w:rPr>
              <w:rFonts w:ascii="Arial" w:eastAsia="Times New Roman" w:hAnsi="Arial" w:cs="Arial"/>
              <w:b/>
              <w:snapToGrid w:val="0"/>
              <w:color w:val="999999"/>
              <w:sz w:val="16"/>
              <w:szCs w:val="20"/>
              <w:lang w:val="pt-BR"/>
            </w:rPr>
          </w:pPr>
          <w:r w:rsidRPr="00A76788"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  <w:lang w:val="pt-BR"/>
            </w:rPr>
            <w:t>Montreal, Quebec, Canada H0H 0H0</w:t>
          </w:r>
        </w:p>
      </w:tc>
      <w:tc>
        <w:tcPr>
          <w:tcW w:w="3420" w:type="dxa"/>
        </w:tcPr>
        <w:p w14:paraId="3614349C" w14:textId="77777777" w:rsidR="00A76788" w:rsidRPr="00A76788" w:rsidRDefault="00A76788" w:rsidP="00A76788">
          <w:pPr>
            <w:widowControl w:val="0"/>
            <w:spacing w:after="0" w:line="240" w:lineRule="auto"/>
            <w:ind w:right="-18"/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  <w:lang w:val="fr-FR"/>
            </w:rPr>
          </w:pPr>
          <w:r w:rsidRPr="00A76788"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  <w:lang w:val="fr-FR"/>
            </w:rPr>
            <w:t xml:space="preserve">Université McGill </w:t>
          </w:r>
        </w:p>
        <w:p w14:paraId="4033252E" w14:textId="77777777" w:rsidR="00A76788" w:rsidRPr="00A76788" w:rsidRDefault="00A76788" w:rsidP="00A76788">
          <w:pPr>
            <w:widowControl w:val="0"/>
            <w:spacing w:after="0" w:line="240" w:lineRule="auto"/>
            <w:ind w:right="-65"/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  <w:lang w:val="fr-FR"/>
            </w:rPr>
          </w:pPr>
          <w:r w:rsidRPr="00A76788"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  <w:lang w:val="fr-FR"/>
            </w:rPr>
            <w:t>Nom de l’édifice</w:t>
          </w:r>
        </w:p>
        <w:p w14:paraId="05262DC1" w14:textId="77777777" w:rsidR="00A76788" w:rsidRPr="00A76788" w:rsidRDefault="00A76788" w:rsidP="00A76788">
          <w:pPr>
            <w:widowControl w:val="0"/>
            <w:spacing w:after="0" w:line="240" w:lineRule="auto"/>
            <w:ind w:right="-18"/>
            <w:jc w:val="both"/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  <w:lang w:val="fr-FR"/>
            </w:rPr>
          </w:pPr>
          <w:r w:rsidRPr="00A76788"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  <w:lang w:val="fr-CA"/>
            </w:rPr>
            <w:t>###</w:t>
          </w:r>
          <w:r w:rsidRPr="00A76788"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  <w:lang w:val="fr-FR"/>
            </w:rPr>
            <w:t>, rue nom-de-rue</w:t>
          </w:r>
        </w:p>
        <w:p w14:paraId="24B60900" w14:textId="77777777" w:rsidR="00A76788" w:rsidRPr="00A76788" w:rsidRDefault="00A76788" w:rsidP="00A76788">
          <w:pPr>
            <w:widowControl w:val="0"/>
            <w:spacing w:after="0" w:line="240" w:lineRule="auto"/>
            <w:ind w:right="-18"/>
            <w:rPr>
              <w:rFonts w:ascii="Arial" w:eastAsia="Times New Roman" w:hAnsi="Arial" w:cs="Arial"/>
              <w:b/>
              <w:snapToGrid w:val="0"/>
              <w:color w:val="999999"/>
              <w:sz w:val="16"/>
              <w:szCs w:val="20"/>
              <w:lang w:val="fr-FR"/>
            </w:rPr>
          </w:pPr>
          <w:r w:rsidRPr="00A76788"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  <w:lang w:val="fr-FR"/>
            </w:rPr>
            <w:t xml:space="preserve">Montréal (Québec) Canada </w:t>
          </w:r>
          <w:r w:rsidRPr="00A76788"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  <w:lang w:val="pt-BR"/>
            </w:rPr>
            <w:t>H0H 0H0</w:t>
          </w:r>
        </w:p>
      </w:tc>
      <w:tc>
        <w:tcPr>
          <w:tcW w:w="3420" w:type="dxa"/>
        </w:tcPr>
        <w:p w14:paraId="76840E34" w14:textId="77777777" w:rsidR="00A76788" w:rsidRPr="00A76788" w:rsidRDefault="00A76788" w:rsidP="00A76788">
          <w:pPr>
            <w:widowControl w:val="0"/>
            <w:tabs>
              <w:tab w:val="right" w:pos="2772"/>
            </w:tabs>
            <w:spacing w:after="0" w:line="240" w:lineRule="auto"/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  <w:lang w:val="fr-FR"/>
            </w:rPr>
          </w:pPr>
          <w:r w:rsidRPr="00A76788"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  <w:lang w:val="fr-FR"/>
            </w:rPr>
            <w:t>Tel/Tél : (514) 123-4567</w:t>
          </w:r>
        </w:p>
        <w:p w14:paraId="4321CC7D" w14:textId="77777777" w:rsidR="00A76788" w:rsidRPr="00A76788" w:rsidRDefault="00A76788" w:rsidP="00A76788">
          <w:pPr>
            <w:widowControl w:val="0"/>
            <w:tabs>
              <w:tab w:val="right" w:pos="2772"/>
            </w:tabs>
            <w:spacing w:after="0" w:line="240" w:lineRule="auto"/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  <w:lang w:val="fr-FR"/>
            </w:rPr>
          </w:pPr>
          <w:r w:rsidRPr="00A76788"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  <w:lang w:val="fr-FR"/>
            </w:rPr>
            <w:t>Fax/Télécopieur: (514) 987-6541</w:t>
          </w:r>
        </w:p>
        <w:p w14:paraId="02AEAAF6" w14:textId="77777777" w:rsidR="00A76788" w:rsidRPr="00A76788" w:rsidRDefault="00A76788" w:rsidP="00A76788">
          <w:pPr>
            <w:widowControl w:val="0"/>
            <w:tabs>
              <w:tab w:val="left" w:pos="-10008"/>
              <w:tab w:val="right" w:pos="2772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color w:val="999999"/>
              <w:sz w:val="16"/>
              <w:szCs w:val="20"/>
              <w:lang w:val="fr-FR"/>
            </w:rPr>
          </w:pPr>
          <w:r w:rsidRPr="00A76788">
            <w:rPr>
              <w:rFonts w:ascii="Arial" w:eastAsia="Times New Roman" w:hAnsi="Arial" w:cs="Arial"/>
              <w:snapToGrid w:val="0"/>
              <w:color w:val="999999"/>
              <w:sz w:val="16"/>
              <w:szCs w:val="20"/>
              <w:lang w:val="fr-FR"/>
            </w:rPr>
            <w:t>www.mcgill.ca/websiteaddress/</w:t>
          </w:r>
        </w:p>
      </w:tc>
    </w:tr>
    <w:tr w:rsidR="00A76788" w:rsidRPr="00826246" w14:paraId="52BF24F4" w14:textId="77777777" w:rsidTr="00A76788">
      <w:trPr>
        <w:gridBefore w:val="1"/>
        <w:wBefore w:w="713" w:type="dxa"/>
      </w:trPr>
      <w:tc>
        <w:tcPr>
          <w:tcW w:w="3109" w:type="dxa"/>
          <w:gridSpan w:val="2"/>
        </w:tcPr>
        <w:p w14:paraId="397F3950" w14:textId="77777777" w:rsidR="00A76788" w:rsidRPr="00A76788" w:rsidRDefault="00A76788" w:rsidP="00A76788">
          <w:pPr>
            <w:widowControl w:val="0"/>
            <w:spacing w:after="0" w:line="240" w:lineRule="auto"/>
            <w:ind w:left="-108"/>
            <w:rPr>
              <w:rFonts w:ascii="Arial" w:eastAsia="Times New Roman" w:hAnsi="Arial" w:cs="Arial"/>
              <w:snapToGrid w:val="0"/>
              <w:color w:val="999999"/>
              <w:sz w:val="20"/>
              <w:szCs w:val="20"/>
              <w:lang w:val="fr-FR"/>
            </w:rPr>
          </w:pPr>
        </w:p>
      </w:tc>
      <w:tc>
        <w:tcPr>
          <w:tcW w:w="3420" w:type="dxa"/>
        </w:tcPr>
        <w:p w14:paraId="60C677D0" w14:textId="77777777" w:rsidR="00A76788" w:rsidRPr="00A76788" w:rsidRDefault="00A76788" w:rsidP="00A76788">
          <w:pPr>
            <w:widowControl w:val="0"/>
            <w:spacing w:after="0" w:line="240" w:lineRule="auto"/>
            <w:ind w:right="-18"/>
            <w:rPr>
              <w:rFonts w:ascii="Arial" w:eastAsia="Times New Roman" w:hAnsi="Arial" w:cs="Arial"/>
              <w:snapToGrid w:val="0"/>
              <w:color w:val="999999"/>
              <w:sz w:val="20"/>
              <w:szCs w:val="20"/>
              <w:lang w:val="fr-FR"/>
            </w:rPr>
          </w:pPr>
        </w:p>
      </w:tc>
      <w:tc>
        <w:tcPr>
          <w:tcW w:w="3420" w:type="dxa"/>
        </w:tcPr>
        <w:p w14:paraId="38EF633E" w14:textId="77777777" w:rsidR="00A76788" w:rsidRPr="00A76788" w:rsidRDefault="00A76788" w:rsidP="00A76788">
          <w:pPr>
            <w:widowControl w:val="0"/>
            <w:tabs>
              <w:tab w:val="right" w:pos="2772"/>
            </w:tabs>
            <w:spacing w:after="0" w:line="240" w:lineRule="auto"/>
            <w:rPr>
              <w:rFonts w:ascii="Arial" w:eastAsia="Times New Roman" w:hAnsi="Arial" w:cs="Arial"/>
              <w:snapToGrid w:val="0"/>
              <w:color w:val="999999"/>
              <w:sz w:val="20"/>
              <w:szCs w:val="20"/>
              <w:lang w:val="fr-FR"/>
            </w:rPr>
          </w:pPr>
        </w:p>
      </w:tc>
    </w:tr>
  </w:tbl>
  <w:p w14:paraId="64071DDB" w14:textId="77777777" w:rsidR="00EA7D43" w:rsidRPr="00A76788" w:rsidRDefault="00EA7D43" w:rsidP="00A76788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19"/>
    <w:rsid w:val="00044F11"/>
    <w:rsid w:val="00060D17"/>
    <w:rsid w:val="0009327D"/>
    <w:rsid w:val="000C0CB3"/>
    <w:rsid w:val="000D2DB6"/>
    <w:rsid w:val="000E72E3"/>
    <w:rsid w:val="000F104F"/>
    <w:rsid w:val="00101C08"/>
    <w:rsid w:val="00162AF0"/>
    <w:rsid w:val="00163C11"/>
    <w:rsid w:val="001862BD"/>
    <w:rsid w:val="001B0CA6"/>
    <w:rsid w:val="001B4EB6"/>
    <w:rsid w:val="001C5E46"/>
    <w:rsid w:val="001D2EFA"/>
    <w:rsid w:val="001D3489"/>
    <w:rsid w:val="001F12D7"/>
    <w:rsid w:val="001F3BC6"/>
    <w:rsid w:val="0022454E"/>
    <w:rsid w:val="002315C6"/>
    <w:rsid w:val="00233600"/>
    <w:rsid w:val="00271123"/>
    <w:rsid w:val="002819B4"/>
    <w:rsid w:val="002865A2"/>
    <w:rsid w:val="00292935"/>
    <w:rsid w:val="002B39FE"/>
    <w:rsid w:val="0030256C"/>
    <w:rsid w:val="00313868"/>
    <w:rsid w:val="00316444"/>
    <w:rsid w:val="003361F6"/>
    <w:rsid w:val="00345578"/>
    <w:rsid w:val="00366898"/>
    <w:rsid w:val="0038689E"/>
    <w:rsid w:val="003E5E73"/>
    <w:rsid w:val="003F31B7"/>
    <w:rsid w:val="00406CD4"/>
    <w:rsid w:val="00457EDE"/>
    <w:rsid w:val="00465B75"/>
    <w:rsid w:val="004726F3"/>
    <w:rsid w:val="00482318"/>
    <w:rsid w:val="00493F58"/>
    <w:rsid w:val="00495629"/>
    <w:rsid w:val="004A0D53"/>
    <w:rsid w:val="004B6577"/>
    <w:rsid w:val="004F6C4C"/>
    <w:rsid w:val="004F749D"/>
    <w:rsid w:val="0052524D"/>
    <w:rsid w:val="00557F1E"/>
    <w:rsid w:val="00582F3D"/>
    <w:rsid w:val="005C6DBC"/>
    <w:rsid w:val="005F2863"/>
    <w:rsid w:val="005F3B6A"/>
    <w:rsid w:val="00614736"/>
    <w:rsid w:val="00643173"/>
    <w:rsid w:val="006508E6"/>
    <w:rsid w:val="006E4B92"/>
    <w:rsid w:val="006F7CB6"/>
    <w:rsid w:val="00701CEB"/>
    <w:rsid w:val="007265E2"/>
    <w:rsid w:val="00744A2B"/>
    <w:rsid w:val="007534D7"/>
    <w:rsid w:val="007B4419"/>
    <w:rsid w:val="007F5465"/>
    <w:rsid w:val="00826246"/>
    <w:rsid w:val="0085082D"/>
    <w:rsid w:val="00864BBF"/>
    <w:rsid w:val="008D783D"/>
    <w:rsid w:val="008F0866"/>
    <w:rsid w:val="008F08B0"/>
    <w:rsid w:val="008F13EA"/>
    <w:rsid w:val="00912D66"/>
    <w:rsid w:val="009506B3"/>
    <w:rsid w:val="00956DA5"/>
    <w:rsid w:val="009950B9"/>
    <w:rsid w:val="009F006C"/>
    <w:rsid w:val="009F0804"/>
    <w:rsid w:val="00A0199E"/>
    <w:rsid w:val="00A54159"/>
    <w:rsid w:val="00A76788"/>
    <w:rsid w:val="00AA33CD"/>
    <w:rsid w:val="00AC6A7A"/>
    <w:rsid w:val="00B40226"/>
    <w:rsid w:val="00B42ACF"/>
    <w:rsid w:val="00B53D8C"/>
    <w:rsid w:val="00B6111C"/>
    <w:rsid w:val="00B65A9D"/>
    <w:rsid w:val="00BA7D2E"/>
    <w:rsid w:val="00C43DAA"/>
    <w:rsid w:val="00C75454"/>
    <w:rsid w:val="00C76E8B"/>
    <w:rsid w:val="00CA7254"/>
    <w:rsid w:val="00CC5448"/>
    <w:rsid w:val="00CD199E"/>
    <w:rsid w:val="00CF3528"/>
    <w:rsid w:val="00D0750E"/>
    <w:rsid w:val="00D12850"/>
    <w:rsid w:val="00D15484"/>
    <w:rsid w:val="00D75FA3"/>
    <w:rsid w:val="00D902F4"/>
    <w:rsid w:val="00D91A8D"/>
    <w:rsid w:val="00D940E3"/>
    <w:rsid w:val="00D94700"/>
    <w:rsid w:val="00DE317B"/>
    <w:rsid w:val="00DE584D"/>
    <w:rsid w:val="00DF584B"/>
    <w:rsid w:val="00DF7109"/>
    <w:rsid w:val="00E440CE"/>
    <w:rsid w:val="00E4663B"/>
    <w:rsid w:val="00E54404"/>
    <w:rsid w:val="00E5630B"/>
    <w:rsid w:val="00E703F2"/>
    <w:rsid w:val="00E83C46"/>
    <w:rsid w:val="00E87C6D"/>
    <w:rsid w:val="00EA7D43"/>
    <w:rsid w:val="00EC5BB7"/>
    <w:rsid w:val="00EE285F"/>
    <w:rsid w:val="00EF7464"/>
    <w:rsid w:val="00F03E9E"/>
    <w:rsid w:val="00F6204C"/>
    <w:rsid w:val="00F63B37"/>
    <w:rsid w:val="00F8108F"/>
    <w:rsid w:val="00F83C6A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5C4A30"/>
  <w15:docId w15:val="{20E5F9B5-9F3B-45FC-9902-D26E55D0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AA"/>
  </w:style>
  <w:style w:type="paragraph" w:styleId="Heading1">
    <w:name w:val="heading 1"/>
    <w:basedOn w:val="Normal"/>
    <w:next w:val="Normal"/>
    <w:link w:val="Heading1Char"/>
    <w:uiPriority w:val="9"/>
    <w:qFormat/>
    <w:rsid w:val="007B4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4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4419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B441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B4419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B4419"/>
    <w:rPr>
      <w:lang w:val="en-CA"/>
    </w:rPr>
  </w:style>
  <w:style w:type="character" w:styleId="Hyperlink">
    <w:name w:val="Hyperlink"/>
    <w:basedOn w:val="DefaultParagraphFont"/>
    <w:uiPriority w:val="99"/>
    <w:unhideWhenUsed/>
    <w:rsid w:val="000C0C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630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473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2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5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research/" TargetMode="External"/><Relationship Id="rId13" Type="http://schemas.openxmlformats.org/officeDocument/2006/relationships/hyperlink" Target="http://www.mcgill.ca/tls/teaching/supervision" TargetMode="External"/><Relationship Id="rId18" Type="http://schemas.openxmlformats.org/officeDocument/2006/relationships/hyperlink" Target="mailto:relocation.apo@mcgill.c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mcgill.ca/tls/" TargetMode="External"/><Relationship Id="rId12" Type="http://schemas.openxmlformats.org/officeDocument/2006/relationships/hyperlink" Target="https://www.mcgill.ca/apo/new-tsas-guide/orientation-new-tenure-stream-academic-staff" TargetMode="External"/><Relationship Id="rId17" Type="http://schemas.openxmlformats.org/officeDocument/2006/relationships/hyperlink" Target="http://www.mcgill.ca/apo/new-tsas-guide/working-canada-moving-montreal/relocation-serv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cgill.ca/apo/academic-staff/other-information/professional-development-fun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cgill.ca/apo/academic-staf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cgill.ca/apo/academic-staff/other-information/academic-laptop-progr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cgill.ca/secretariat/policies-and-regulations" TargetMode="External"/><Relationship Id="rId19" Type="http://schemas.openxmlformats.org/officeDocument/2006/relationships/hyperlink" Target="http://www.mcgill.ca/apo/academic-staff/procedures/language-instru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gill.ca/secretariat/files/secretariat/employment_of_tenure_track_and_tenured_academic_staff_regs_relating_to.pdf" TargetMode="External"/><Relationship Id="rId14" Type="http://schemas.openxmlformats.org/officeDocument/2006/relationships/hyperlink" Target="http://www.mcgill.ca/hr/bp/benefits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B7F9-4912-4004-B898-B8868FA0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Sabino-Ifill</dc:creator>
  <cp:keywords/>
  <dc:description/>
  <cp:lastModifiedBy>Natalie Phillips-Elgar</cp:lastModifiedBy>
  <cp:revision>3</cp:revision>
  <cp:lastPrinted>2015-12-16T20:46:00Z</cp:lastPrinted>
  <dcterms:created xsi:type="dcterms:W3CDTF">2018-07-17T19:29:00Z</dcterms:created>
  <dcterms:modified xsi:type="dcterms:W3CDTF">2018-07-17T19:31:00Z</dcterms:modified>
</cp:coreProperties>
</file>