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10" w:rsidRPr="00D87979" w:rsidRDefault="00CA7910" w:rsidP="00CA7910">
      <w:pPr>
        <w:pBdr>
          <w:bottom w:val="single" w:sz="4" w:space="1" w:color="7F7F7F" w:themeColor="text1" w:themeTint="80"/>
        </w:pBdr>
        <w:spacing w:after="0"/>
        <w:jc w:val="center"/>
        <w:rPr>
          <w:rFonts w:ascii="Century Gothic" w:hAnsi="Century Gothic"/>
          <w:b/>
          <w:smallCaps/>
          <w:color w:val="800000"/>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pPr>
      <w:r w:rsidRPr="00D87979">
        <w:rPr>
          <w:rFonts w:ascii="Century Gothic" w:hAnsi="Century Gothic" w:cs="Century Gothic"/>
          <w:b/>
          <w:bCs/>
          <w:color w:val="800000"/>
          <w:sz w:val="48"/>
          <w:szCs w:val="48"/>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t>Réunion Scientifique Pédiatrique</w:t>
      </w:r>
      <w:r w:rsidRPr="00D87979">
        <w:rPr>
          <w:rFonts w:ascii="Century Gothic" w:hAnsi="Century Gothic" w:cs="Century Gothic"/>
          <w:b/>
          <w:bCs/>
          <w:color w:val="800000"/>
          <w:sz w:val="48"/>
          <w:szCs w:val="48"/>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br/>
        <w:t>Pediatric Medical Grand Rounds</w:t>
      </w:r>
    </w:p>
    <w:p w:rsidR="00CA7910" w:rsidRPr="00D87979" w:rsidRDefault="00CA7910" w:rsidP="00CA7910">
      <w:pPr>
        <w:spacing w:after="0"/>
        <w:rPr>
          <w:rFonts w:ascii="Century Gothic" w:hAnsi="Century Gothic"/>
          <w:b/>
          <w:i/>
          <w:sz w:val="16"/>
          <w:szCs w:val="16"/>
        </w:rPr>
      </w:pPr>
    </w:p>
    <w:p w:rsidR="00CA7910" w:rsidRPr="00D87979" w:rsidRDefault="004E6AE7" w:rsidP="00CA7910">
      <w:pPr>
        <w:spacing w:after="0"/>
        <w:jc w:val="center"/>
        <w:rPr>
          <w:rFonts w:ascii="Century Gothic" w:hAnsi="Century Gothic"/>
          <w:b/>
          <w:i/>
          <w:sz w:val="36"/>
        </w:rPr>
      </w:pPr>
      <w:r>
        <w:rPr>
          <w:rFonts w:ascii="Century Gothic" w:hAnsi="Century Gothic"/>
          <w:b/>
          <w:i/>
          <w:sz w:val="36"/>
        </w:rPr>
        <w:t>Biomedical Ethics Joint Rounds</w:t>
      </w:r>
    </w:p>
    <w:p w:rsidR="00CA7910" w:rsidRPr="00EE4339" w:rsidRDefault="00CA7910" w:rsidP="00CA7910">
      <w:pPr>
        <w:spacing w:after="0"/>
        <w:jc w:val="center"/>
        <w:rPr>
          <w:rFonts w:ascii="Century Gothic" w:hAnsi="Century Gothic"/>
          <w:sz w:val="20"/>
          <w:szCs w:val="20"/>
        </w:rPr>
      </w:pPr>
    </w:p>
    <w:p w:rsidR="00CA7910" w:rsidRPr="00D87979" w:rsidRDefault="004E6AE7" w:rsidP="00CA7910">
      <w:pPr>
        <w:spacing w:after="0"/>
        <w:jc w:val="center"/>
        <w:rPr>
          <w:rFonts w:ascii="Century Gothic" w:hAnsi="Century Gothic"/>
          <w:sz w:val="44"/>
          <w:szCs w:val="44"/>
          <w:lang w:val="en-US"/>
        </w:rPr>
      </w:pPr>
      <w:r>
        <w:rPr>
          <w:rFonts w:ascii="Century Gothic" w:hAnsi="Century Gothic" w:cs="Century Gothic"/>
          <w:b/>
          <w:bCs/>
          <w:color w:val="000080"/>
          <w:sz w:val="44"/>
          <w:szCs w:val="44"/>
        </w:rPr>
        <w:t xml:space="preserve">Risky Business: Exposing Children to Potential Harm </w:t>
      </w:r>
      <w:proofErr w:type="gramStart"/>
      <w:r>
        <w:rPr>
          <w:rFonts w:ascii="Century Gothic" w:hAnsi="Century Gothic" w:cs="Century Gothic"/>
          <w:b/>
          <w:bCs/>
          <w:color w:val="000080"/>
          <w:sz w:val="44"/>
          <w:szCs w:val="44"/>
        </w:rPr>
        <w:t>Without</w:t>
      </w:r>
      <w:proofErr w:type="gramEnd"/>
      <w:r>
        <w:rPr>
          <w:rFonts w:ascii="Century Gothic" w:hAnsi="Century Gothic" w:cs="Century Gothic"/>
          <w:b/>
          <w:bCs/>
          <w:color w:val="000080"/>
          <w:sz w:val="44"/>
          <w:szCs w:val="44"/>
        </w:rPr>
        <w:t xml:space="preserve"> Compensating Clinical Benefits</w:t>
      </w:r>
    </w:p>
    <w:p w:rsidR="00E32AE0" w:rsidRPr="00E32AE0" w:rsidRDefault="00E32AE0" w:rsidP="00E32AE0"/>
    <w:p w:rsidR="00CA7910" w:rsidRPr="0020320C" w:rsidRDefault="00CA7910" w:rsidP="00CA7910">
      <w:pPr>
        <w:pStyle w:val="Heading6"/>
        <w:keepLines w:val="0"/>
        <w:spacing w:before="0" w:line="240" w:lineRule="auto"/>
        <w:jc w:val="center"/>
        <w:rPr>
          <w:rFonts w:ascii="Century Gothic" w:eastAsia="Times New Roman" w:hAnsi="Century Gothic" w:cs="Tahoma"/>
          <w:i w:val="0"/>
          <w:iCs w:val="0"/>
          <w:color w:val="auto"/>
          <w:sz w:val="20"/>
          <w:szCs w:val="20"/>
        </w:rPr>
      </w:pPr>
      <w:r w:rsidRPr="0020320C">
        <w:rPr>
          <w:rFonts w:ascii="Century Gothic" w:eastAsia="Times New Roman" w:hAnsi="Century Gothic" w:cs="Tahoma"/>
          <w:i w:val="0"/>
          <w:iCs w:val="0"/>
          <w:color w:val="auto"/>
          <w:sz w:val="20"/>
          <w:szCs w:val="20"/>
        </w:rPr>
        <w:t>Présenté par | Presented by</w:t>
      </w:r>
    </w:p>
    <w:p w:rsidR="00CA7910" w:rsidRDefault="00CA7910" w:rsidP="00CA7910">
      <w:pPr>
        <w:spacing w:after="0"/>
        <w:jc w:val="center"/>
        <w:rPr>
          <w:rFonts w:ascii="Century Gothic" w:hAnsi="Century Gothic"/>
          <w:sz w:val="20"/>
          <w:szCs w:val="20"/>
          <w:lang w:val="en-US"/>
        </w:rPr>
      </w:pPr>
    </w:p>
    <w:p w:rsidR="00E32AE0" w:rsidRPr="0020320C" w:rsidRDefault="00E32AE0" w:rsidP="00CA7910">
      <w:pPr>
        <w:spacing w:after="0"/>
        <w:jc w:val="center"/>
        <w:rPr>
          <w:rFonts w:ascii="Century Gothic" w:hAnsi="Century Gothic"/>
          <w:sz w:val="20"/>
          <w:szCs w:val="20"/>
          <w:lang w:val="en-US"/>
        </w:rPr>
      </w:pPr>
    </w:p>
    <w:p w:rsidR="00CA7910" w:rsidRPr="004E1328" w:rsidRDefault="004E6AE7" w:rsidP="00CA7910">
      <w:pPr>
        <w:spacing w:after="0"/>
        <w:jc w:val="center"/>
        <w:rPr>
          <w:rFonts w:ascii="Century Gothic" w:hAnsi="Century Gothic" w:cs="Century Gothic"/>
          <w:b/>
          <w:bCs/>
          <w:color w:val="000080"/>
          <w:sz w:val="36"/>
          <w:szCs w:val="32"/>
        </w:rPr>
      </w:pPr>
      <w:r>
        <w:rPr>
          <w:rFonts w:ascii="Century Gothic" w:hAnsi="Century Gothic" w:cs="Century Gothic"/>
          <w:b/>
          <w:bCs/>
          <w:color w:val="000080"/>
          <w:sz w:val="36"/>
          <w:szCs w:val="32"/>
        </w:rPr>
        <w:t>Robert Nelson, MD, PhD, M.Div.</w:t>
      </w:r>
    </w:p>
    <w:p w:rsidR="00CA7910" w:rsidRDefault="004E6AE7" w:rsidP="00CA7910">
      <w:pPr>
        <w:spacing w:after="0"/>
        <w:jc w:val="center"/>
        <w:rPr>
          <w:rFonts w:ascii="Century Gothic" w:hAnsi="Century Gothic"/>
          <w:sz w:val="20"/>
          <w:lang w:val="en-US"/>
        </w:rPr>
      </w:pPr>
      <w:r>
        <w:rPr>
          <w:rFonts w:ascii="Century Gothic" w:hAnsi="Century Gothic"/>
          <w:sz w:val="20"/>
          <w:lang w:val="en-US"/>
        </w:rPr>
        <w:t>Deputy Director and Senior Pediatric Ethicist, Office of Pediatric Therapeutics, Office of the Commissioner, U.S. Department of Health Human Services</w:t>
      </w:r>
    </w:p>
    <w:p w:rsidR="00CA7910" w:rsidRDefault="00CA7910" w:rsidP="00CA7910">
      <w:pPr>
        <w:spacing w:after="0"/>
        <w:jc w:val="center"/>
        <w:rPr>
          <w:rFonts w:ascii="Century Gothic" w:hAnsi="Century Gothic"/>
          <w:sz w:val="24"/>
          <w:szCs w:val="24"/>
          <w:lang w:val="en-US"/>
        </w:rPr>
      </w:pPr>
    </w:p>
    <w:p w:rsidR="00E32AE0" w:rsidRPr="00246219" w:rsidRDefault="00E32AE0" w:rsidP="00CA7910">
      <w:pPr>
        <w:spacing w:after="0"/>
        <w:jc w:val="center"/>
        <w:rPr>
          <w:rFonts w:ascii="Century Gothic" w:hAnsi="Century Gothic"/>
          <w:sz w:val="24"/>
          <w:szCs w:val="24"/>
          <w:lang w:val="en-US"/>
        </w:rPr>
      </w:pPr>
    </w:p>
    <w:p w:rsidR="00CA7910" w:rsidRPr="00E32AE0" w:rsidRDefault="00CA7910" w:rsidP="00CA7910">
      <w:pPr>
        <w:pStyle w:val="Heading1"/>
        <w:keepLines w:val="0"/>
        <w:spacing w:before="0" w:line="240" w:lineRule="auto"/>
        <w:jc w:val="center"/>
        <w:rPr>
          <w:rFonts w:ascii="Century Gothic" w:eastAsia="Times New Roman" w:hAnsi="Century Gothic" w:cs="Tahoma"/>
          <w:bCs w:val="0"/>
          <w:color w:val="auto"/>
          <w:sz w:val="26"/>
          <w:szCs w:val="26"/>
          <w:lang w:val="fr-CA"/>
        </w:rPr>
      </w:pPr>
      <w:proofErr w:type="gramStart"/>
      <w:r w:rsidRPr="00E32AE0">
        <w:rPr>
          <w:rFonts w:ascii="Century Gothic" w:eastAsia="Times New Roman" w:hAnsi="Century Gothic" w:cs="Tahoma"/>
          <w:bCs w:val="0"/>
          <w:color w:val="auto"/>
          <w:sz w:val="26"/>
          <w:szCs w:val="26"/>
          <w:lang w:val="fr-CA"/>
        </w:rPr>
        <w:t>le</w:t>
      </w:r>
      <w:proofErr w:type="gramEnd"/>
      <w:r w:rsidRPr="00E32AE0">
        <w:rPr>
          <w:rFonts w:ascii="Century Gothic" w:eastAsia="Times New Roman" w:hAnsi="Century Gothic" w:cs="Tahoma"/>
          <w:bCs w:val="0"/>
          <w:color w:val="auto"/>
          <w:sz w:val="26"/>
          <w:szCs w:val="26"/>
          <w:lang w:val="fr-CA"/>
        </w:rPr>
        <w:t xml:space="preserve"> </w:t>
      </w:r>
      <w:r w:rsidR="004E6AE7" w:rsidRPr="00E32AE0">
        <w:rPr>
          <w:rFonts w:ascii="Century Gothic" w:eastAsia="Times New Roman" w:hAnsi="Century Gothic" w:cs="Tahoma"/>
          <w:bCs w:val="0"/>
          <w:color w:val="auto"/>
          <w:sz w:val="26"/>
          <w:szCs w:val="26"/>
          <w:lang w:val="fr-CA"/>
        </w:rPr>
        <w:t>11 octobre</w:t>
      </w:r>
      <w:r w:rsidRPr="00E32AE0">
        <w:rPr>
          <w:rFonts w:ascii="Century Gothic" w:eastAsia="Times New Roman" w:hAnsi="Century Gothic" w:cs="Tahoma"/>
          <w:bCs w:val="0"/>
          <w:color w:val="auto"/>
          <w:sz w:val="26"/>
          <w:szCs w:val="26"/>
          <w:lang w:val="fr-CA"/>
        </w:rPr>
        <w:t xml:space="preserve">, 2017 | </w:t>
      </w:r>
      <w:proofErr w:type="spellStart"/>
      <w:r w:rsidR="004E6AE7" w:rsidRPr="00E32AE0">
        <w:rPr>
          <w:rFonts w:ascii="Century Gothic" w:eastAsia="Times New Roman" w:hAnsi="Century Gothic" w:cs="Tahoma"/>
          <w:bCs w:val="0"/>
          <w:color w:val="auto"/>
          <w:sz w:val="26"/>
          <w:szCs w:val="26"/>
          <w:lang w:val="fr-CA"/>
        </w:rPr>
        <w:t>October</w:t>
      </w:r>
      <w:proofErr w:type="spellEnd"/>
      <w:r w:rsidR="004E6AE7" w:rsidRPr="00E32AE0">
        <w:rPr>
          <w:rFonts w:ascii="Century Gothic" w:eastAsia="Times New Roman" w:hAnsi="Century Gothic" w:cs="Tahoma"/>
          <w:bCs w:val="0"/>
          <w:color w:val="auto"/>
          <w:sz w:val="26"/>
          <w:szCs w:val="26"/>
          <w:lang w:val="fr-CA"/>
        </w:rPr>
        <w:t xml:space="preserve"> 11</w:t>
      </w:r>
      <w:r w:rsidRPr="00E32AE0">
        <w:rPr>
          <w:rFonts w:ascii="Century Gothic" w:eastAsia="Times New Roman" w:hAnsi="Century Gothic" w:cs="Tahoma"/>
          <w:bCs w:val="0"/>
          <w:color w:val="auto"/>
          <w:sz w:val="26"/>
          <w:szCs w:val="26"/>
          <w:lang w:val="fr-CA"/>
        </w:rPr>
        <w:t>, 2017</w:t>
      </w:r>
    </w:p>
    <w:p w:rsidR="00CA7910" w:rsidRPr="00246219" w:rsidRDefault="00CA7910" w:rsidP="00CA7910">
      <w:pPr>
        <w:pStyle w:val="Heading1"/>
        <w:keepLines w:val="0"/>
        <w:spacing w:before="0" w:line="240" w:lineRule="auto"/>
        <w:jc w:val="center"/>
        <w:rPr>
          <w:rFonts w:ascii="Century Gothic" w:eastAsia="Times New Roman" w:hAnsi="Century Gothic" w:cs="Tahoma"/>
          <w:bCs w:val="0"/>
          <w:color w:val="auto"/>
          <w:sz w:val="24"/>
          <w:szCs w:val="24"/>
          <w:lang w:val="fr-CA"/>
        </w:rPr>
      </w:pPr>
      <w:r w:rsidRPr="00246219">
        <w:rPr>
          <w:rFonts w:ascii="Century Gothic" w:eastAsia="Times New Roman" w:hAnsi="Century Gothic" w:cs="Tahoma"/>
          <w:bCs w:val="0"/>
          <w:color w:val="auto"/>
          <w:sz w:val="26"/>
          <w:szCs w:val="26"/>
          <w:lang w:val="fr-CA"/>
        </w:rPr>
        <w:t>8h00-9h00</w:t>
      </w:r>
    </w:p>
    <w:p w:rsidR="00CA7910" w:rsidRPr="00246219" w:rsidRDefault="00CA7910" w:rsidP="00CA7910">
      <w:pPr>
        <w:spacing w:after="0" w:line="240" w:lineRule="auto"/>
        <w:jc w:val="center"/>
        <w:rPr>
          <w:rFonts w:ascii="Century Gothic" w:hAnsi="Century Gothic"/>
          <w:b/>
          <w:sz w:val="26"/>
          <w:szCs w:val="26"/>
          <w:lang w:val="fr-CA"/>
        </w:rPr>
      </w:pPr>
    </w:p>
    <w:p w:rsidR="00CA7910" w:rsidRPr="00246219" w:rsidRDefault="00CA7910" w:rsidP="00CA7910">
      <w:pPr>
        <w:keepNext/>
        <w:autoSpaceDE w:val="0"/>
        <w:autoSpaceDN w:val="0"/>
        <w:adjustRightInd w:val="0"/>
        <w:spacing w:after="0" w:line="240" w:lineRule="auto"/>
        <w:jc w:val="center"/>
        <w:rPr>
          <w:rFonts w:ascii="Century Gothic" w:hAnsi="Century Gothic" w:cs="Tahoma"/>
          <w:b/>
          <w:color w:val="000000"/>
          <w:sz w:val="26"/>
          <w:szCs w:val="26"/>
        </w:rPr>
      </w:pPr>
      <w:r w:rsidRPr="00246219">
        <w:rPr>
          <w:rFonts w:ascii="Century Gothic" w:hAnsi="Century Gothic" w:cs="Tahoma"/>
          <w:b/>
          <w:color w:val="000000"/>
          <w:sz w:val="26"/>
          <w:szCs w:val="26"/>
          <w:lang w:val="fr-CA"/>
        </w:rPr>
        <w:t xml:space="preserve">CUSM auditorium de l’Institut de recherche, salle. </w:t>
      </w:r>
      <w:r w:rsidRPr="00246219">
        <w:rPr>
          <w:rFonts w:ascii="Century Gothic" w:hAnsi="Century Gothic" w:cs="Tahoma"/>
          <w:b/>
          <w:color w:val="000000"/>
          <w:sz w:val="26"/>
          <w:szCs w:val="26"/>
        </w:rPr>
        <w:t>E.S1.1129</w:t>
      </w:r>
      <w:r w:rsidRPr="00246219">
        <w:rPr>
          <w:rFonts w:ascii="Century Gothic" w:hAnsi="Century Gothic" w:cs="Tahoma"/>
          <w:b/>
          <w:color w:val="000000"/>
          <w:sz w:val="26"/>
          <w:szCs w:val="26"/>
        </w:rPr>
        <w:br/>
        <w:t>MUHC Research Institute Auditorium, room E.S1.1129</w:t>
      </w:r>
    </w:p>
    <w:p w:rsidR="00CA7910" w:rsidRDefault="00CA7910" w:rsidP="00CA7910">
      <w:pPr>
        <w:spacing w:after="0"/>
        <w:rPr>
          <w:rFonts w:ascii="Century Gothic" w:hAnsi="Century Gothic" w:cs="Tahoma"/>
          <w:bCs/>
          <w:sz w:val="18"/>
          <w:szCs w:val="20"/>
        </w:rPr>
      </w:pPr>
    </w:p>
    <w:p w:rsidR="00E32AE0" w:rsidRPr="00EF4646" w:rsidRDefault="00E32AE0" w:rsidP="00CA7910">
      <w:pPr>
        <w:spacing w:after="0"/>
        <w:rPr>
          <w:rFonts w:ascii="Century Gothic" w:hAnsi="Century Gothic" w:cs="Tahoma"/>
          <w:bCs/>
          <w:sz w:val="18"/>
          <w:szCs w:val="20"/>
        </w:rPr>
      </w:pPr>
    </w:p>
    <w:p w:rsidR="00CA7910" w:rsidRPr="00D87979" w:rsidRDefault="00CA7910" w:rsidP="00CA7910">
      <w:pPr>
        <w:spacing w:after="0"/>
        <w:rPr>
          <w:rFonts w:ascii="Century Gothic" w:hAnsi="Century Gothic" w:cs="Tahoma"/>
          <w:sz w:val="16"/>
          <w:szCs w:val="20"/>
        </w:rPr>
      </w:pPr>
    </w:p>
    <w:p w:rsidR="004E6AE7" w:rsidRDefault="004E6AE7" w:rsidP="004E6AE7">
      <w:pPr>
        <w:spacing w:after="0"/>
        <w:rPr>
          <w:rFonts w:ascii="Century Gothic" w:hAnsi="Century Gothic" w:cs="Tahoma"/>
          <w:sz w:val="16"/>
          <w:szCs w:val="20"/>
        </w:rPr>
      </w:pPr>
      <w:r>
        <w:rPr>
          <w:rFonts w:ascii="Century Gothic" w:hAnsi="Century Gothic" w:cs="Tahoma"/>
          <w:sz w:val="16"/>
          <w:szCs w:val="20"/>
        </w:rPr>
        <w:t>Educational Objectives:</w:t>
      </w:r>
    </w:p>
    <w:p w:rsidR="004E6AE7" w:rsidRDefault="004E6AE7" w:rsidP="004E6AE7">
      <w:pPr>
        <w:spacing w:after="0"/>
        <w:rPr>
          <w:rFonts w:ascii="Century Gothic" w:hAnsi="Century Gothic" w:cs="Tahoma"/>
          <w:sz w:val="16"/>
          <w:szCs w:val="20"/>
        </w:rPr>
      </w:pPr>
      <w:r>
        <w:rPr>
          <w:rFonts w:ascii="Century Gothic" w:hAnsi="Century Gothic" w:cs="Tahoma"/>
          <w:sz w:val="16"/>
          <w:szCs w:val="20"/>
        </w:rPr>
        <w:t>Research interventions and procedures that present more than minimal risk, but offer no prospect of direct benefit to children provoke controversy about their acceptability. This session will review critically the development of this category by the US National Commission, and the ethical concerns that is raises (with attention to other international guidelines). During this session, attendees will:</w:t>
      </w:r>
    </w:p>
    <w:p w:rsidR="00212A37" w:rsidRDefault="00212A37" w:rsidP="00212A37">
      <w:pPr>
        <w:pStyle w:val="ListParagraph"/>
        <w:numPr>
          <w:ilvl w:val="0"/>
          <w:numId w:val="10"/>
        </w:numPr>
        <w:spacing w:after="0"/>
        <w:rPr>
          <w:rFonts w:ascii="Century Gothic" w:hAnsi="Century Gothic" w:cs="Tahoma"/>
          <w:sz w:val="16"/>
          <w:szCs w:val="20"/>
        </w:rPr>
      </w:pPr>
      <w:r>
        <w:rPr>
          <w:rFonts w:ascii="Century Gothic" w:hAnsi="Century Gothic" w:cs="Tahoma"/>
          <w:sz w:val="16"/>
          <w:szCs w:val="20"/>
        </w:rPr>
        <w:t>Review the reasons for the development of this category of pediatric research by the US National Commission.</w:t>
      </w:r>
    </w:p>
    <w:p w:rsidR="00212A37" w:rsidRDefault="00212A37" w:rsidP="00212A37">
      <w:pPr>
        <w:pStyle w:val="ListParagraph"/>
        <w:numPr>
          <w:ilvl w:val="0"/>
          <w:numId w:val="10"/>
        </w:numPr>
        <w:spacing w:after="0"/>
        <w:rPr>
          <w:rFonts w:ascii="Century Gothic" w:hAnsi="Century Gothic" w:cs="Tahoma"/>
          <w:sz w:val="16"/>
          <w:szCs w:val="20"/>
        </w:rPr>
      </w:pPr>
      <w:r>
        <w:rPr>
          <w:rFonts w:ascii="Century Gothic" w:hAnsi="Century Gothic" w:cs="Tahoma"/>
          <w:sz w:val="16"/>
          <w:szCs w:val="20"/>
        </w:rPr>
        <w:t>Identify the ethical concerns raised by this category of pediatric research and how they might be addressed.</w:t>
      </w:r>
    </w:p>
    <w:p w:rsidR="00212A37" w:rsidRPr="00212A37" w:rsidRDefault="00212A37" w:rsidP="00212A37">
      <w:pPr>
        <w:pStyle w:val="ListParagraph"/>
        <w:numPr>
          <w:ilvl w:val="0"/>
          <w:numId w:val="10"/>
        </w:numPr>
        <w:spacing w:after="0"/>
        <w:rPr>
          <w:rFonts w:ascii="Century Gothic" w:hAnsi="Century Gothic" w:cs="Tahoma"/>
          <w:sz w:val="16"/>
          <w:szCs w:val="20"/>
        </w:rPr>
      </w:pPr>
      <w:r>
        <w:rPr>
          <w:rFonts w:ascii="Century Gothic" w:hAnsi="Century Gothic" w:cs="Tahoma"/>
          <w:sz w:val="16"/>
          <w:szCs w:val="20"/>
        </w:rPr>
        <w:t xml:space="preserve">Apply this category of pediatric research to the analysis of the ethical acceptability of selected case examples. </w:t>
      </w:r>
    </w:p>
    <w:p w:rsidR="00CA7910" w:rsidRDefault="00CA7910" w:rsidP="00CA7910">
      <w:pPr>
        <w:spacing w:after="0"/>
        <w:jc w:val="center"/>
        <w:rPr>
          <w:rFonts w:ascii="Century Gothic" w:hAnsi="Century Gothic" w:cs="Tahoma"/>
          <w:i/>
          <w:iCs/>
          <w:sz w:val="14"/>
          <w:szCs w:val="14"/>
        </w:rPr>
      </w:pPr>
      <w:r w:rsidRPr="00E32AE0">
        <w:rPr>
          <w:rFonts w:ascii="Century Gothic" w:hAnsi="Century Gothic" w:cs="Tahoma"/>
          <w:i/>
          <w:iCs/>
          <w:sz w:val="14"/>
          <w:szCs w:val="14"/>
          <w:lang w:val="fr-CA"/>
        </w:rPr>
        <w:br/>
        <w:t xml:space="preserve">La présente activité est une activité de formation collective agréée au titre de </w:t>
      </w:r>
      <w:r w:rsidRPr="0002369F">
        <w:rPr>
          <w:rFonts w:ascii="Century Gothic" w:hAnsi="Century Gothic" w:cs="Tahoma"/>
          <w:i/>
          <w:iCs/>
          <w:sz w:val="14"/>
          <w:szCs w:val="14"/>
          <w:lang w:val="fr-CA"/>
        </w:rPr>
        <w:t>la section 1 conformément au programme de Maintien du certificat du Collège royal des  médec</w:t>
      </w:r>
      <w:r>
        <w:rPr>
          <w:rFonts w:ascii="Century Gothic" w:hAnsi="Century Gothic" w:cs="Tahoma"/>
          <w:i/>
          <w:iCs/>
          <w:sz w:val="14"/>
          <w:szCs w:val="14"/>
          <w:lang w:val="fr-CA"/>
        </w:rPr>
        <w:t xml:space="preserve">ins et chirurgiens du Canada. </w:t>
      </w:r>
      <w:r w:rsidRPr="00D87979">
        <w:rPr>
          <w:rFonts w:ascii="Century Gothic" w:hAnsi="Century Gothic" w:cs="Tahoma"/>
          <w:i/>
          <w:iCs/>
          <w:sz w:val="14"/>
          <w:szCs w:val="14"/>
        </w:rPr>
        <w:t xml:space="preserve">| </w:t>
      </w:r>
      <w:r w:rsidRPr="0020320C">
        <w:rPr>
          <w:rFonts w:ascii="Century Gothic" w:hAnsi="Century Gothic" w:cs="Tahoma"/>
          <w:i/>
          <w:iCs/>
          <w:sz w:val="14"/>
          <w:szCs w:val="14"/>
        </w:rPr>
        <w:t>This event is an Accredited Group Learning Activity (Section 1) as defined by the Maintenance of Certification program of The Ro</w:t>
      </w:r>
      <w:r w:rsidRPr="0002369F">
        <w:rPr>
          <w:rFonts w:ascii="Century Gothic" w:hAnsi="Century Gothic" w:cs="Tahoma"/>
          <w:i/>
          <w:iCs/>
          <w:sz w:val="14"/>
          <w:szCs w:val="14"/>
        </w:rPr>
        <w:t>yal College of Physicians and Surgeons of Canada.</w:t>
      </w:r>
    </w:p>
    <w:p w:rsidR="00CA7910" w:rsidRDefault="00CA7910" w:rsidP="00CA7910">
      <w:pPr>
        <w:spacing w:after="0"/>
        <w:jc w:val="center"/>
        <w:rPr>
          <w:rFonts w:ascii="Century Gothic" w:hAnsi="Century Gothic" w:cs="Tahoma"/>
          <w:i/>
          <w:iCs/>
          <w:sz w:val="14"/>
          <w:szCs w:val="14"/>
        </w:rPr>
      </w:pPr>
    </w:p>
    <w:p w:rsidR="00E32AE0" w:rsidRDefault="00E32AE0" w:rsidP="00CA7910">
      <w:pPr>
        <w:spacing w:after="0"/>
        <w:jc w:val="center"/>
        <w:rPr>
          <w:rFonts w:ascii="Century Gothic" w:hAnsi="Century Gothic" w:cs="Tahoma"/>
          <w:i/>
          <w:iCs/>
          <w:sz w:val="14"/>
          <w:szCs w:val="14"/>
        </w:rPr>
      </w:pPr>
    </w:p>
    <w:p w:rsidR="0020320C" w:rsidRPr="00E32AE0" w:rsidRDefault="00E32AE0" w:rsidP="00E32AE0">
      <w:pPr>
        <w:spacing w:after="0"/>
        <w:jc w:val="center"/>
        <w:rPr>
          <w:rFonts w:ascii="Century Gothic" w:hAnsi="Century Gothic"/>
          <w:b/>
          <w:sz w:val="20"/>
        </w:rPr>
      </w:pPr>
      <w:hyperlink r:id="rId9" w:history="1">
        <w:r w:rsidR="00CA7910" w:rsidRPr="00C43127">
          <w:rPr>
            <w:rStyle w:val="Hyperlink"/>
            <w:rFonts w:ascii="Century Gothic" w:hAnsi="Century Gothic"/>
            <w:b/>
            <w:sz w:val="20"/>
          </w:rPr>
          <w:t>www.mcgill.ca/peds/grandrounds</w:t>
        </w:r>
      </w:hyperlink>
      <w:r w:rsidR="00CA7910">
        <w:rPr>
          <w:rFonts w:ascii="Century Gothic" w:hAnsi="Century Gothic"/>
          <w:b/>
          <w:sz w:val="20"/>
        </w:rPr>
        <w:br/>
      </w:r>
      <w:r w:rsidR="00CA7910">
        <w:rPr>
          <w:rFonts w:ascii="Century Gothic" w:hAnsi="Century Gothic" w:cs="Tahoma"/>
          <w:i/>
          <w:iCs/>
          <w:sz w:val="14"/>
          <w:szCs w:val="14"/>
        </w:rPr>
        <w:br/>
      </w:r>
      <w:r w:rsidR="00CA7910">
        <w:rPr>
          <w:noProof/>
          <w:lang w:eastAsia="en-CA"/>
        </w:rPr>
        <w:drawing>
          <wp:inline distT="0" distB="0" distL="0" distR="0" wp14:anchorId="55172F57" wp14:editId="757FF338">
            <wp:extent cx="2790825" cy="599523"/>
            <wp:effectExtent l="0" t="0" r="0" b="0"/>
            <wp:docPr id="3" name="Picture 3" descr="2012MCH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MCHlogoRGB"/>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359"/>
                    <a:stretch/>
                  </pic:blipFill>
                  <pic:spPr bwMode="auto">
                    <a:xfrm>
                      <a:off x="0" y="0"/>
                      <a:ext cx="2794500" cy="600312"/>
                    </a:xfrm>
                    <a:prstGeom prst="rect">
                      <a:avLst/>
                    </a:prstGeom>
                    <a:noFill/>
                    <a:ln>
                      <a:noFill/>
                    </a:ln>
                    <a:extLst>
                      <a:ext uri="{53640926-AAD7-44D8-BBD7-CCE9431645EC}">
                        <a14:shadowObscured xmlns:a14="http://schemas.microsoft.com/office/drawing/2010/main"/>
                      </a:ext>
                    </a:extLst>
                  </pic:spPr>
                </pic:pic>
              </a:graphicData>
            </a:graphic>
          </wp:inline>
        </w:drawing>
      </w:r>
      <w:r w:rsidR="00CA7910">
        <w:rPr>
          <w:rFonts w:ascii="Century Gothic" w:hAnsi="Century Gothic" w:cs="Tahoma"/>
          <w:b/>
          <w:sz w:val="14"/>
          <w:szCs w:val="14"/>
        </w:rPr>
        <w:tab/>
      </w:r>
      <w:r w:rsidR="00CA7910">
        <w:rPr>
          <w:rFonts w:ascii="Century Gothic" w:hAnsi="Century Gothic" w:cs="Tahoma"/>
          <w:b/>
          <w:sz w:val="14"/>
          <w:szCs w:val="14"/>
        </w:rPr>
        <w:tab/>
      </w:r>
      <w:r w:rsidR="00CA7910">
        <w:rPr>
          <w:rFonts w:ascii="Century Gothic" w:hAnsi="Century Gothic" w:cs="Tahoma"/>
          <w:b/>
          <w:sz w:val="14"/>
          <w:szCs w:val="14"/>
        </w:rPr>
        <w:tab/>
      </w:r>
      <w:r w:rsidR="00CA7910">
        <w:rPr>
          <w:rFonts w:ascii="Tms Rmn" w:hAnsi="Tms Rmn"/>
          <w:noProof/>
          <w:szCs w:val="24"/>
          <w:lang w:eastAsia="en-CA"/>
        </w:rPr>
        <w:drawing>
          <wp:inline distT="0" distB="0" distL="0" distR="0" wp14:anchorId="48A2AAA6" wp14:editId="23796D29">
            <wp:extent cx="1772518" cy="6840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t="8824"/>
                    <a:stretch>
                      <a:fillRect/>
                    </a:stretch>
                  </pic:blipFill>
                  <pic:spPr bwMode="auto">
                    <a:xfrm>
                      <a:off x="0" y="0"/>
                      <a:ext cx="1772518" cy="684000"/>
                    </a:xfrm>
                    <a:prstGeom prst="rect">
                      <a:avLst/>
                    </a:prstGeom>
                    <a:noFill/>
                    <a:ln>
                      <a:noFill/>
                    </a:ln>
                  </pic:spPr>
                </pic:pic>
              </a:graphicData>
            </a:graphic>
          </wp:inline>
        </w:drawing>
      </w:r>
      <w:bookmarkStart w:id="0" w:name="_GoBack"/>
      <w:bookmarkEnd w:id="0"/>
    </w:p>
    <w:sectPr w:rsidR="0020320C" w:rsidRPr="00E32AE0" w:rsidSect="00AB15C3">
      <w:pgSz w:w="12240" w:h="15840"/>
      <w:pgMar w:top="568" w:right="1440" w:bottom="709"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75" w:rsidRDefault="00442D75" w:rsidP="00442D75">
      <w:pPr>
        <w:spacing w:after="0" w:line="240" w:lineRule="auto"/>
      </w:pPr>
      <w:r>
        <w:separator/>
      </w:r>
    </w:p>
  </w:endnote>
  <w:endnote w:type="continuationSeparator" w:id="0">
    <w:p w:rsidR="00442D75" w:rsidRDefault="00442D75" w:rsidP="0044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75" w:rsidRDefault="00442D75" w:rsidP="00442D75">
      <w:pPr>
        <w:spacing w:after="0" w:line="240" w:lineRule="auto"/>
      </w:pPr>
      <w:r>
        <w:separator/>
      </w:r>
    </w:p>
  </w:footnote>
  <w:footnote w:type="continuationSeparator" w:id="0">
    <w:p w:rsidR="00442D75" w:rsidRDefault="00442D75" w:rsidP="00442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4DC6"/>
    <w:multiLevelType w:val="hybridMultilevel"/>
    <w:tmpl w:val="6360C52C"/>
    <w:lvl w:ilvl="0" w:tplc="F1F0196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D4B0A4E"/>
    <w:multiLevelType w:val="hybridMultilevel"/>
    <w:tmpl w:val="0D48F1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2FD7D4D"/>
    <w:multiLevelType w:val="hybridMultilevel"/>
    <w:tmpl w:val="0FB864CE"/>
    <w:lvl w:ilvl="0" w:tplc="DC149A18">
      <w:start w:val="2"/>
      <w:numFmt w:val="bullet"/>
      <w:lvlText w:val="-"/>
      <w:lvlJc w:val="left"/>
      <w:pPr>
        <w:ind w:left="720" w:hanging="360"/>
      </w:pPr>
      <w:rPr>
        <w:rFonts w:ascii="Tahoma" w:eastAsiaTheme="minorHAns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E0F39BA"/>
    <w:multiLevelType w:val="hybridMultilevel"/>
    <w:tmpl w:val="F0BAB2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FB32AAE"/>
    <w:multiLevelType w:val="hybridMultilevel"/>
    <w:tmpl w:val="A54A7088"/>
    <w:lvl w:ilvl="0" w:tplc="712865D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4C004F9B"/>
    <w:multiLevelType w:val="hybridMultilevel"/>
    <w:tmpl w:val="1130C39E"/>
    <w:lvl w:ilvl="0" w:tplc="08782424">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01548A6"/>
    <w:multiLevelType w:val="hybridMultilevel"/>
    <w:tmpl w:val="94200706"/>
    <w:lvl w:ilvl="0" w:tplc="11F071A8">
      <w:start w:val="1"/>
      <w:numFmt w:val="decimal"/>
      <w:lvlText w:val="%1."/>
      <w:lvlJc w:val="left"/>
      <w:pPr>
        <w:ind w:left="720" w:hanging="360"/>
      </w:pPr>
      <w:rPr>
        <w:rFonts w:ascii="Tahoma" w:hAnsi="Tahoma" w:cs="Tahoma"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464172C"/>
    <w:multiLevelType w:val="hybridMultilevel"/>
    <w:tmpl w:val="4AD8BA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9F92193"/>
    <w:multiLevelType w:val="hybridMultilevel"/>
    <w:tmpl w:val="12BE8A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E7360D3"/>
    <w:multiLevelType w:val="hybridMultilevel"/>
    <w:tmpl w:val="4D1ED7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7"/>
  </w:num>
  <w:num w:numId="5">
    <w:abstractNumId w:val="2"/>
  </w:num>
  <w:num w:numId="6">
    <w:abstractNumId w:val="5"/>
  </w:num>
  <w:num w:numId="7">
    <w:abstractNumId w:val="1"/>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75"/>
    <w:rsid w:val="0000590A"/>
    <w:rsid w:val="0002369F"/>
    <w:rsid w:val="0020320C"/>
    <w:rsid w:val="00212A37"/>
    <w:rsid w:val="002B00EC"/>
    <w:rsid w:val="00442D75"/>
    <w:rsid w:val="004E1328"/>
    <w:rsid w:val="004E6AE7"/>
    <w:rsid w:val="00592D5F"/>
    <w:rsid w:val="00674718"/>
    <w:rsid w:val="0089104C"/>
    <w:rsid w:val="00AB15C3"/>
    <w:rsid w:val="00B4504F"/>
    <w:rsid w:val="00C37D1F"/>
    <w:rsid w:val="00CA7910"/>
    <w:rsid w:val="00D63AD9"/>
    <w:rsid w:val="00E32A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10"/>
  </w:style>
  <w:style w:type="paragraph" w:styleId="Heading1">
    <w:name w:val="heading 1"/>
    <w:basedOn w:val="Normal"/>
    <w:next w:val="Normal"/>
    <w:link w:val="Heading1Char"/>
    <w:qFormat/>
    <w:rsid w:val="00442D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nhideWhenUsed/>
    <w:qFormat/>
    <w:rsid w:val="00442D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D75"/>
  </w:style>
  <w:style w:type="paragraph" w:styleId="Footer">
    <w:name w:val="footer"/>
    <w:basedOn w:val="Normal"/>
    <w:link w:val="FooterChar"/>
    <w:uiPriority w:val="99"/>
    <w:unhideWhenUsed/>
    <w:rsid w:val="00442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D75"/>
  </w:style>
  <w:style w:type="table" w:styleId="TableGrid">
    <w:name w:val="Table Grid"/>
    <w:basedOn w:val="TableNormal"/>
    <w:uiPriority w:val="59"/>
    <w:rsid w:val="00442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2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75"/>
    <w:rPr>
      <w:rFonts w:ascii="Tahoma" w:hAnsi="Tahoma" w:cs="Tahoma"/>
      <w:sz w:val="16"/>
      <w:szCs w:val="16"/>
    </w:rPr>
  </w:style>
  <w:style w:type="character" w:customStyle="1" w:styleId="Heading6Char">
    <w:name w:val="Heading 6 Char"/>
    <w:basedOn w:val="DefaultParagraphFont"/>
    <w:link w:val="Heading6"/>
    <w:rsid w:val="00442D75"/>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442D75"/>
    <w:pPr>
      <w:ind w:left="720"/>
      <w:contextualSpacing/>
    </w:pPr>
  </w:style>
  <w:style w:type="character" w:customStyle="1" w:styleId="Heading1Char">
    <w:name w:val="Heading 1 Char"/>
    <w:basedOn w:val="DefaultParagraphFont"/>
    <w:link w:val="Heading1"/>
    <w:rsid w:val="00442D75"/>
    <w:rPr>
      <w:rFonts w:asciiTheme="majorHAnsi" w:eastAsiaTheme="majorEastAsia" w:hAnsiTheme="majorHAnsi" w:cstheme="majorBidi"/>
      <w:b/>
      <w:bCs/>
      <w:color w:val="365F91" w:themeColor="accent1" w:themeShade="BF"/>
      <w:sz w:val="28"/>
      <w:szCs w:val="28"/>
    </w:rPr>
  </w:style>
  <w:style w:type="character" w:styleId="Hyperlink">
    <w:name w:val="Hyperlink"/>
    <w:rsid w:val="00CA79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10"/>
  </w:style>
  <w:style w:type="paragraph" w:styleId="Heading1">
    <w:name w:val="heading 1"/>
    <w:basedOn w:val="Normal"/>
    <w:next w:val="Normal"/>
    <w:link w:val="Heading1Char"/>
    <w:qFormat/>
    <w:rsid w:val="00442D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nhideWhenUsed/>
    <w:qFormat/>
    <w:rsid w:val="00442D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D75"/>
  </w:style>
  <w:style w:type="paragraph" w:styleId="Footer">
    <w:name w:val="footer"/>
    <w:basedOn w:val="Normal"/>
    <w:link w:val="FooterChar"/>
    <w:uiPriority w:val="99"/>
    <w:unhideWhenUsed/>
    <w:rsid w:val="00442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D75"/>
  </w:style>
  <w:style w:type="table" w:styleId="TableGrid">
    <w:name w:val="Table Grid"/>
    <w:basedOn w:val="TableNormal"/>
    <w:uiPriority w:val="59"/>
    <w:rsid w:val="00442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2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75"/>
    <w:rPr>
      <w:rFonts w:ascii="Tahoma" w:hAnsi="Tahoma" w:cs="Tahoma"/>
      <w:sz w:val="16"/>
      <w:szCs w:val="16"/>
    </w:rPr>
  </w:style>
  <w:style w:type="character" w:customStyle="1" w:styleId="Heading6Char">
    <w:name w:val="Heading 6 Char"/>
    <w:basedOn w:val="DefaultParagraphFont"/>
    <w:link w:val="Heading6"/>
    <w:rsid w:val="00442D75"/>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442D75"/>
    <w:pPr>
      <w:ind w:left="720"/>
      <w:contextualSpacing/>
    </w:pPr>
  </w:style>
  <w:style w:type="character" w:customStyle="1" w:styleId="Heading1Char">
    <w:name w:val="Heading 1 Char"/>
    <w:basedOn w:val="DefaultParagraphFont"/>
    <w:link w:val="Heading1"/>
    <w:rsid w:val="00442D75"/>
    <w:rPr>
      <w:rFonts w:asciiTheme="majorHAnsi" w:eastAsiaTheme="majorEastAsia" w:hAnsiTheme="majorHAnsi" w:cstheme="majorBidi"/>
      <w:b/>
      <w:bCs/>
      <w:color w:val="365F91" w:themeColor="accent1" w:themeShade="BF"/>
      <w:sz w:val="28"/>
      <w:szCs w:val="28"/>
    </w:rPr>
  </w:style>
  <w:style w:type="character" w:styleId="Hyperlink">
    <w:name w:val="Hyperlink"/>
    <w:rsid w:val="00CA7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cgill.ca/peds/grandro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81436-0106-41F1-9D65-904F34F3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MUHC</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Crawford</dc:creator>
  <cp:lastModifiedBy>Sally Crawford</cp:lastModifiedBy>
  <cp:revision>3</cp:revision>
  <dcterms:created xsi:type="dcterms:W3CDTF">2017-09-28T13:16:00Z</dcterms:created>
  <dcterms:modified xsi:type="dcterms:W3CDTF">2017-09-28T13:17:00Z</dcterms:modified>
</cp:coreProperties>
</file>