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B6BECB2" w:rsidR="0030256E" w:rsidRDefault="008737CF" w:rsidP="00873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right="4"/>
        <w:jc w:val="center"/>
        <w:rPr>
          <w:color w:val="000000"/>
        </w:rPr>
      </w:pPr>
      <w:r>
        <w:rPr>
          <w:color w:val="000000"/>
        </w:rPr>
        <w:t>Alvin Y.H. Cheung NYU School of Law alvin.cheung@law.nyu.edu</w:t>
      </w:r>
    </w:p>
    <w:p w14:paraId="00000002" w14:textId="76647407" w:rsidR="0030256E" w:rsidRDefault="008737CF" w:rsidP="00873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360"/>
        <w:ind w:right="4"/>
        <w:jc w:val="center"/>
        <w:rPr>
          <w:b/>
          <w:color w:val="000000"/>
        </w:rPr>
      </w:pPr>
      <w:r>
        <w:rPr>
          <w:b/>
          <w:color w:val="000000"/>
        </w:rPr>
        <w:t>Measuring the Measures: Creating the Conditions for Abusive Legalism</w:t>
      </w:r>
    </w:p>
    <w:p w14:paraId="04590496" w14:textId="77777777" w:rsidR="008737CF" w:rsidRDefault="008737CF" w:rsidP="00873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964"/>
        <w:ind w:right="4"/>
        <w:jc w:val="both"/>
        <w:rPr>
          <w:color w:val="000000"/>
        </w:rPr>
      </w:pPr>
      <w:r>
        <w:rPr>
          <w:color w:val="000000"/>
        </w:rPr>
        <w:t xml:space="preserve">On 14 January 2019, the Canadian government issued a travel advisory warning citizens </w:t>
      </w:r>
      <w:r>
        <w:rPr>
          <w:color w:val="000000"/>
        </w:rPr>
        <w:t xml:space="preserve">against travelling to China “due to the risk of arbitrary enforcement of local laws.” The warning came </w:t>
      </w:r>
      <w:r>
        <w:rPr>
          <w:color w:val="000000"/>
        </w:rPr>
        <w:t xml:space="preserve">after a Chinese court announced a death sentence for Canadian citizen Robert Lloyd </w:t>
      </w:r>
      <w:proofErr w:type="spellStart"/>
      <w:r>
        <w:rPr>
          <w:color w:val="000000"/>
        </w:rPr>
        <w:t>Schellenberg</w:t>
      </w:r>
      <w:proofErr w:type="spellEnd"/>
      <w:r>
        <w:rPr>
          <w:color w:val="000000"/>
        </w:rPr>
        <w:t xml:space="preserve"> – a </w:t>
      </w:r>
      <w:r>
        <w:rPr>
          <w:color w:val="000000"/>
        </w:rPr>
        <w:t>judgment widely seen as Chinese retaliation for the</w:t>
      </w:r>
      <w:r>
        <w:rPr>
          <w:color w:val="000000"/>
        </w:rPr>
        <w:t xml:space="preserve"> detention of </w:t>
      </w:r>
      <w:proofErr w:type="spellStart"/>
      <w:r>
        <w:rPr>
          <w:color w:val="000000"/>
        </w:rPr>
        <w:t>Meng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Wangzhou</w:t>
      </w:r>
      <w:proofErr w:type="spellEnd"/>
      <w:r>
        <w:rPr>
          <w:color w:val="000000"/>
        </w:rPr>
        <w:t xml:space="preserve">, an executive at the </w:t>
      </w:r>
      <w:r>
        <w:rPr>
          <w:color w:val="000000"/>
        </w:rPr>
        <w:t xml:space="preserve">Chinese telecommunications firm Huawei, in Vancouver. </w:t>
      </w:r>
    </w:p>
    <w:p w14:paraId="0000000C" w14:textId="37CB44EA" w:rsidR="0030256E" w:rsidRDefault="008737CF" w:rsidP="00873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964"/>
        <w:ind w:right="4"/>
        <w:jc w:val="both"/>
        <w:rPr>
          <w:color w:val="000000"/>
        </w:rPr>
      </w:pPr>
      <w:r>
        <w:rPr>
          <w:color w:val="000000"/>
        </w:rPr>
        <w:t xml:space="preserve">It is difficult to dispute that “arbitrary enforcement of local laws” is inconsistent with the rule </w:t>
      </w:r>
      <w:r>
        <w:rPr>
          <w:color w:val="000000"/>
        </w:rPr>
        <w:t xml:space="preserve">of law. However, none of the major indices that purport to measure the rule of law include criteria </w:t>
      </w:r>
      <w:r>
        <w:rPr>
          <w:color w:val="000000"/>
        </w:rPr>
        <w:t xml:space="preserve">that comprehensively address the phenomenon. I argue in this paper that defects in how the rule of </w:t>
      </w:r>
      <w:r>
        <w:rPr>
          <w:color w:val="000000"/>
        </w:rPr>
        <w:t>law has been measured by norm entrepreneurs</w:t>
      </w:r>
      <w:r>
        <w:rPr>
          <w:color w:val="000000"/>
          <w:sz w:val="21"/>
          <w:szCs w:val="21"/>
          <w:vertAlign w:val="superscript"/>
        </w:rPr>
        <w:t xml:space="preserve">1 </w:t>
      </w:r>
      <w:r>
        <w:rPr>
          <w:color w:val="000000"/>
        </w:rPr>
        <w:t xml:space="preserve">(primarily inter-governmental organisations and </w:t>
      </w:r>
      <w:r>
        <w:rPr>
          <w:color w:val="000000"/>
        </w:rPr>
        <w:t>NGOs) have created the spaces in which abusive legalism</w:t>
      </w:r>
      <w:r>
        <w:rPr>
          <w:color w:val="000000"/>
          <w:sz w:val="21"/>
          <w:szCs w:val="21"/>
          <w:vertAlign w:val="superscript"/>
        </w:rPr>
        <w:t xml:space="preserve">2 </w:t>
      </w:r>
      <w:r>
        <w:rPr>
          <w:color w:val="000000"/>
        </w:rPr>
        <w:t xml:space="preserve">can flourish. </w:t>
      </w:r>
    </w:p>
    <w:p w14:paraId="00000011" w14:textId="47947544" w:rsidR="0030256E" w:rsidRDefault="008737CF" w:rsidP="00873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before="374"/>
        <w:ind w:right="4"/>
        <w:jc w:val="both"/>
        <w:rPr>
          <w:color w:val="000000"/>
        </w:rPr>
      </w:pPr>
      <w:r>
        <w:rPr>
          <w:color w:val="000000"/>
        </w:rPr>
        <w:t xml:space="preserve">I begin with a review of previous studies of rule of law indices and a brief history of the major </w:t>
      </w:r>
      <w:r>
        <w:rPr>
          <w:color w:val="000000"/>
        </w:rPr>
        <w:t xml:space="preserve">rule-of-law indices. I then consider how the rhetoric of “rule of law” has been used as a vehicle for </w:t>
      </w:r>
      <w:r>
        <w:rPr>
          <w:color w:val="000000"/>
        </w:rPr>
        <w:t xml:space="preserve">supposedly “apolitical” developmental interventions, and the current importance of rule-of-law </w:t>
      </w:r>
      <w:r>
        <w:rPr>
          <w:color w:val="000000"/>
        </w:rPr>
        <w:t xml:space="preserve">indices. I then critically consider the major rule-of-law indices, both in light of how they are compiled </w:t>
      </w:r>
      <w:r>
        <w:rPr>
          <w:color w:val="000000"/>
        </w:rPr>
        <w:t xml:space="preserve">and in light of the hypothetical abusive legalist jurisdiction of </w:t>
      </w:r>
      <w:proofErr w:type="spellStart"/>
      <w:r>
        <w:rPr>
          <w:color w:val="000000"/>
        </w:rPr>
        <w:t>Erewhon</w:t>
      </w:r>
      <w:proofErr w:type="spellEnd"/>
      <w:r>
        <w:rPr>
          <w:color w:val="000000"/>
        </w:rPr>
        <w:t xml:space="preserve">. </w:t>
      </w:r>
    </w:p>
    <w:p w14:paraId="00000012" w14:textId="77777777" w:rsidR="0030256E" w:rsidRDefault="008737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-302" w:right="3446"/>
        <w:rPr>
          <w:color w:val="000000"/>
        </w:rPr>
      </w:pPr>
      <w:r>
        <w:rPr>
          <w:b/>
          <w:color w:val="000000"/>
        </w:rPr>
        <w:t xml:space="preserve">Keywords: </w:t>
      </w:r>
      <w:r>
        <w:rPr>
          <w:color w:val="000000"/>
        </w:rPr>
        <w:t xml:space="preserve">Abusive legalism; rule of law; governance indicators </w:t>
      </w:r>
    </w:p>
    <w:p w14:paraId="00000013" w14:textId="77777777" w:rsidR="0030256E" w:rsidRDefault="008737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left="-302" w:right="-1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Cass R. </w:t>
      </w:r>
      <w:proofErr w:type="spellStart"/>
      <w:r>
        <w:rPr>
          <w:color w:val="000000"/>
          <w:sz w:val="20"/>
          <w:szCs w:val="20"/>
        </w:rPr>
        <w:t>Sunstein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Social Norms and Social Roles</w:t>
      </w:r>
      <w:r>
        <w:rPr>
          <w:color w:val="000000"/>
          <w:sz w:val="20"/>
          <w:szCs w:val="20"/>
        </w:rPr>
        <w:t>, 96 C</w:t>
      </w:r>
      <w:r>
        <w:rPr>
          <w:color w:val="000000"/>
          <w:sz w:val="15"/>
          <w:szCs w:val="15"/>
        </w:rPr>
        <w:t xml:space="preserve">OLUMBIA </w:t>
      </w:r>
      <w:r>
        <w:rPr>
          <w:color w:val="000000"/>
          <w:sz w:val="20"/>
          <w:szCs w:val="20"/>
        </w:rPr>
        <w:t>L</w:t>
      </w:r>
      <w:r>
        <w:rPr>
          <w:color w:val="000000"/>
          <w:sz w:val="15"/>
          <w:szCs w:val="15"/>
        </w:rPr>
        <w:t xml:space="preserve">AW </w:t>
      </w:r>
      <w:r>
        <w:rPr>
          <w:color w:val="000000"/>
          <w:sz w:val="20"/>
          <w:szCs w:val="20"/>
        </w:rPr>
        <w:t>R</w:t>
      </w:r>
      <w:r>
        <w:rPr>
          <w:color w:val="000000"/>
          <w:sz w:val="15"/>
          <w:szCs w:val="15"/>
        </w:rPr>
        <w:t xml:space="preserve">EVIEW </w:t>
      </w:r>
      <w:r>
        <w:rPr>
          <w:color w:val="000000"/>
          <w:sz w:val="20"/>
          <w:szCs w:val="20"/>
        </w:rPr>
        <w:t>903, 909 (1996). 2 I define abusive legalism elsewhere as the use of sub-constitutional law in ways that appear consistent with formal and procedural guarantees associated with the rule of law, but which frustrate such guarantees, consolidate autocrats’ po</w:t>
      </w:r>
      <w:r>
        <w:rPr>
          <w:color w:val="000000"/>
          <w:sz w:val="20"/>
          <w:szCs w:val="20"/>
        </w:rPr>
        <w:t xml:space="preserve">sitions, and avoid attracting unfavourable scrutiny. </w:t>
      </w:r>
    </w:p>
    <w:p w14:paraId="00000014" w14:textId="06C42B0E" w:rsidR="0030256E" w:rsidRDefault="003025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4627" w:right="4622"/>
        <w:rPr>
          <w:color w:val="000000"/>
        </w:rPr>
      </w:pPr>
      <w:bookmarkStart w:id="0" w:name="_GoBack"/>
      <w:bookmarkEnd w:id="0"/>
    </w:p>
    <w:sectPr w:rsidR="003025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E"/>
    <w:rsid w:val="0030256E"/>
    <w:rsid w:val="008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66C01-FE5A-4448-9658-260A6B2E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2019-04-10T19:05:00Z</dcterms:created>
  <dcterms:modified xsi:type="dcterms:W3CDTF">2019-04-10T19:05:00Z</dcterms:modified>
</cp:coreProperties>
</file>