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06ACD323" w:rsidR="008A0EAD" w:rsidRDefault="004268E4" w:rsidP="004268E4">
      <w:pPr>
        <w:widowControl w:val="0"/>
        <w:pBdr>
          <w:top w:val="nil"/>
          <w:left w:val="nil"/>
          <w:bottom w:val="nil"/>
          <w:right w:val="nil"/>
          <w:between w:val="nil"/>
        </w:pBdr>
        <w:ind w:left="1542" w:right="1542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_______________________________</w:t>
      </w:r>
      <w:r>
        <w:rPr>
          <w:b/>
          <w:color w:val="000000"/>
          <w:sz w:val="36"/>
          <w:szCs w:val="36"/>
        </w:rPr>
        <w:t xml:space="preserve"> </w:t>
      </w:r>
    </w:p>
    <w:p w14:paraId="00000003" w14:textId="77777777" w:rsidR="008A0EAD" w:rsidRDefault="004268E4" w:rsidP="004268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503" w:right="1486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Putting the Inscrutable Under Scrutiny ______________________________ </w:t>
      </w:r>
    </w:p>
    <w:p w14:paraId="00000004" w14:textId="77777777" w:rsidR="008A0EAD" w:rsidRDefault="004268E4" w:rsidP="004268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1599" w:right="1599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Chantal Bellavance </w:t>
      </w:r>
      <w:r>
        <w:rPr>
          <w:color w:val="000000"/>
          <w:sz w:val="36"/>
          <w:szCs w:val="36"/>
        </w:rPr>
        <w:t>LL.M. in Comparative Law, Non-Thesis Supervisor: Prof</w:t>
      </w:r>
      <w:bookmarkStart w:id="0" w:name="_GoBack"/>
      <w:bookmarkEnd w:id="0"/>
      <w:r>
        <w:rPr>
          <w:color w:val="000000"/>
          <w:sz w:val="36"/>
          <w:szCs w:val="36"/>
        </w:rPr>
        <w:t xml:space="preserve"> Vincent </w:t>
      </w:r>
      <w:proofErr w:type="spellStart"/>
      <w:r>
        <w:rPr>
          <w:color w:val="000000"/>
          <w:sz w:val="36"/>
          <w:szCs w:val="36"/>
        </w:rPr>
        <w:t>Forray</w:t>
      </w:r>
      <w:proofErr w:type="spellEnd"/>
      <w:r>
        <w:rPr>
          <w:color w:val="000000"/>
          <w:sz w:val="36"/>
          <w:szCs w:val="36"/>
        </w:rPr>
        <w:t xml:space="preserve"> McGill Faculty of Law chantal.bellavance@mail.mcgill.ca </w:t>
      </w:r>
    </w:p>
    <w:p w14:paraId="00000006" w14:textId="77777777" w:rsidR="008A0EAD" w:rsidRDefault="004268E4" w:rsidP="004268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3481" w:right="348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January 31th, 2019 </w:t>
      </w:r>
    </w:p>
    <w:p w14:paraId="00000007" w14:textId="77777777" w:rsidR="008A0EAD" w:rsidRDefault="004268E4">
      <w:pPr>
        <w:widowControl w:val="0"/>
        <w:pBdr>
          <w:top w:val="nil"/>
          <w:left w:val="nil"/>
          <w:bottom w:val="nil"/>
          <w:right w:val="nil"/>
          <w:between w:val="nil"/>
        </w:pBdr>
        <w:ind w:left="-297" w:right="776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KEY WORDS: </w:t>
      </w:r>
    </w:p>
    <w:p w14:paraId="00000008" w14:textId="77777777" w:rsidR="008A0EAD" w:rsidRDefault="004268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-297" w:right="1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Jury, Comparative Law, Reasoned Verdict, Right to a Fair Trial, Global Standards. </w:t>
      </w:r>
    </w:p>
    <w:p w14:paraId="00000009" w14:textId="77777777" w:rsidR="008A0EAD" w:rsidRDefault="004268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0"/>
        <w:ind w:left="-297" w:right="795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ABSTRACT: </w:t>
      </w:r>
    </w:p>
    <w:p w14:paraId="00000018" w14:textId="5BEB0BC3" w:rsidR="008A0EAD" w:rsidRDefault="004268E4" w:rsidP="004268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297" w:right="-3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According to the Supreme Court of Canada, the various rationales underlying the continued vitality </w:t>
      </w:r>
      <w:r>
        <w:rPr>
          <w:color w:val="000000"/>
          <w:sz w:val="24"/>
          <w:szCs w:val="24"/>
        </w:rPr>
        <w:t xml:space="preserve">of the jury as a decision maker make it a vital component of our system of criminal justice. This </w:t>
      </w:r>
      <w:r>
        <w:rPr>
          <w:color w:val="000000"/>
          <w:sz w:val="24"/>
          <w:szCs w:val="24"/>
        </w:rPr>
        <w:t xml:space="preserve">being said, the constitutionally protected right of the accused to be judged by jury — in cases of </w:t>
      </w:r>
      <w:r>
        <w:rPr>
          <w:color w:val="000000"/>
          <w:sz w:val="24"/>
          <w:szCs w:val="24"/>
        </w:rPr>
        <w:t xml:space="preserve">serious criminal charges — is framed in a way which renders any attempts at getting rid of it </w:t>
      </w:r>
      <w:r>
        <w:rPr>
          <w:color w:val="000000"/>
          <w:sz w:val="24"/>
          <w:szCs w:val="24"/>
        </w:rPr>
        <w:t xml:space="preserve">extremely difficult. The general duty to give reasons for decisions might be thought to apply with </w:t>
      </w:r>
      <w:r>
        <w:rPr>
          <w:color w:val="000000"/>
          <w:sz w:val="24"/>
          <w:szCs w:val="24"/>
        </w:rPr>
        <w:t>particular force to criminal trials, in which a person’s most</w:t>
      </w:r>
      <w:r>
        <w:rPr>
          <w:color w:val="000000"/>
          <w:sz w:val="24"/>
          <w:szCs w:val="24"/>
        </w:rPr>
        <w:t xml:space="preserve"> profound and intimate interests — </w:t>
      </w:r>
      <w:r>
        <w:rPr>
          <w:color w:val="000000"/>
          <w:sz w:val="24"/>
          <w:szCs w:val="24"/>
        </w:rPr>
        <w:t xml:space="preserve">including their interests in liberty and reputation — all hang in the judicial balance. Yet, the one or </w:t>
      </w:r>
      <w:r>
        <w:rPr>
          <w:color w:val="000000"/>
          <w:sz w:val="24"/>
          <w:szCs w:val="24"/>
        </w:rPr>
        <w:t xml:space="preserve">two word jury verdict (guilty / not guilty) relegates the natural justice principle of the right to a fair </w:t>
      </w:r>
      <w:r>
        <w:rPr>
          <w:color w:val="000000"/>
          <w:sz w:val="24"/>
          <w:szCs w:val="24"/>
        </w:rPr>
        <w:t xml:space="preserve">trial — which entails the right to reasons for a decision — to an instrumental background sub- </w:t>
      </w:r>
      <w:proofErr w:type="spellStart"/>
      <w:r>
        <w:rPr>
          <w:color w:val="000000"/>
          <w:sz w:val="24"/>
          <w:szCs w:val="24"/>
        </w:rPr>
        <w:t>categoric</w:t>
      </w:r>
      <w:proofErr w:type="spellEnd"/>
      <w:r>
        <w:rPr>
          <w:color w:val="000000"/>
          <w:sz w:val="24"/>
          <w:szCs w:val="24"/>
        </w:rPr>
        <w:t xml:space="preserve"> privilege. The Canadian Charter being part of a global constitutional heritage, </w:t>
      </w:r>
      <w:r>
        <w:rPr>
          <w:color w:val="000000"/>
          <w:sz w:val="24"/>
          <w:szCs w:val="24"/>
        </w:rPr>
        <w:t xml:space="preserve">comparative law, namely through the </w:t>
      </w:r>
      <w:r>
        <w:rPr>
          <w:i/>
          <w:color w:val="000000"/>
          <w:sz w:val="24"/>
          <w:szCs w:val="24"/>
        </w:rPr>
        <w:t xml:space="preserve">global standards </w:t>
      </w:r>
      <w:r>
        <w:rPr>
          <w:color w:val="000000"/>
          <w:sz w:val="24"/>
          <w:szCs w:val="24"/>
        </w:rPr>
        <w:t>approach, may be</w:t>
      </w:r>
      <w:r>
        <w:rPr>
          <w:color w:val="000000"/>
          <w:sz w:val="24"/>
          <w:szCs w:val="24"/>
        </w:rPr>
        <w:t xml:space="preserve"> used to advance </w:t>
      </w:r>
      <w:r>
        <w:rPr>
          <w:color w:val="000000"/>
          <w:sz w:val="24"/>
          <w:szCs w:val="24"/>
        </w:rPr>
        <w:t xml:space="preserve">arguments in favour of changes to achieve one’s own domestic legal system’s improvement. As </w:t>
      </w:r>
      <w:r>
        <w:rPr>
          <w:color w:val="000000"/>
          <w:sz w:val="24"/>
          <w:szCs w:val="24"/>
        </w:rPr>
        <w:t xml:space="preserve">such, the objective of many comparative lawyers has been to achieve harmonisation, if not </w:t>
      </w:r>
      <w:r>
        <w:rPr>
          <w:color w:val="000000"/>
          <w:sz w:val="24"/>
          <w:szCs w:val="24"/>
        </w:rPr>
        <w:t xml:space="preserve">unification, of laws. The focus on unification of law across </w:t>
      </w:r>
      <w:proofErr w:type="gramStart"/>
      <w:r>
        <w:rPr>
          <w:color w:val="000000"/>
          <w:sz w:val="24"/>
          <w:szCs w:val="24"/>
        </w:rPr>
        <w:t>nations</w:t>
      </w:r>
      <w:proofErr w:type="gramEnd"/>
      <w:r>
        <w:rPr>
          <w:color w:val="000000"/>
          <w:sz w:val="24"/>
          <w:szCs w:val="24"/>
        </w:rPr>
        <w:t xml:space="preserve"> states provides one answer to the </w:t>
      </w:r>
      <w:r>
        <w:rPr>
          <w:color w:val="000000"/>
          <w:sz w:val="24"/>
          <w:szCs w:val="24"/>
        </w:rPr>
        <w:t xml:space="preserve">normative question of what law should be. </w:t>
      </w:r>
    </w:p>
    <w:p w14:paraId="0000001F" w14:textId="554E080D" w:rsidR="008A0EAD" w:rsidRDefault="004268E4" w:rsidP="004268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-284" w:right="-311"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2009, the Strasbourg Court, in its </w:t>
      </w:r>
      <w:proofErr w:type="spellStart"/>
      <w:r>
        <w:rPr>
          <w:i/>
          <w:color w:val="000000"/>
          <w:sz w:val="24"/>
          <w:szCs w:val="24"/>
        </w:rPr>
        <w:t>Taxquet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judgment, questioned the appropriateness, in </w:t>
      </w:r>
      <w:r>
        <w:rPr>
          <w:color w:val="000000"/>
          <w:sz w:val="24"/>
          <w:szCs w:val="24"/>
        </w:rPr>
        <w:t xml:space="preserve">light of human rights standards, of the unreasoned jury verdicts. While the Court did not indicate </w:t>
      </w:r>
      <w:r>
        <w:rPr>
          <w:color w:val="000000"/>
          <w:sz w:val="24"/>
          <w:szCs w:val="24"/>
        </w:rPr>
        <w:t xml:space="preserve">unequivocally that the right to a fair trial was guaranteed exclusively through a reasoned judgment, </w:t>
      </w:r>
      <w:r>
        <w:rPr>
          <w:color w:val="000000"/>
          <w:sz w:val="24"/>
          <w:szCs w:val="24"/>
        </w:rPr>
        <w:t xml:space="preserve">it held, however, that the reasoning provided in court decisions was closely linked to the concern to </w:t>
      </w:r>
      <w:r>
        <w:rPr>
          <w:color w:val="000000"/>
          <w:sz w:val="24"/>
          <w:szCs w:val="24"/>
        </w:rPr>
        <w:t xml:space="preserve">ensure a fair trial, as it allows the rights of the defence to be preserved. According to the Court, and </w:t>
      </w:r>
      <w:r>
        <w:rPr>
          <w:color w:val="000000"/>
          <w:sz w:val="24"/>
          <w:szCs w:val="24"/>
        </w:rPr>
        <w:t>based on article 6 of the European Convention o</w:t>
      </w:r>
      <w:r>
        <w:rPr>
          <w:color w:val="000000"/>
          <w:sz w:val="24"/>
          <w:szCs w:val="24"/>
        </w:rPr>
        <w:t xml:space="preserve">n Human Rights (ECHR), reasoning is essential to </w:t>
      </w:r>
      <w:r>
        <w:rPr>
          <w:color w:val="000000"/>
          <w:sz w:val="24"/>
          <w:szCs w:val="24"/>
        </w:rPr>
        <w:t xml:space="preserve">the very quality of justice and provides a safeguard against arbitrariness. </w:t>
      </w:r>
    </w:p>
    <w:p w14:paraId="00000039" w14:textId="1E87D155" w:rsidR="008A0EAD" w:rsidRDefault="004268E4" w:rsidP="004268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284" w:right="-311"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Following the </w:t>
      </w:r>
      <w:proofErr w:type="spellStart"/>
      <w:r>
        <w:rPr>
          <w:i/>
          <w:color w:val="000000"/>
          <w:sz w:val="24"/>
          <w:szCs w:val="24"/>
        </w:rPr>
        <w:t>Taxquet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case, legislators in some member states were led to believe that </w:t>
      </w:r>
      <w:r>
        <w:rPr>
          <w:color w:val="000000"/>
          <w:sz w:val="24"/>
          <w:szCs w:val="24"/>
        </w:rPr>
        <w:t xml:space="preserve">compliance with the ECHR may be ensured only by putting the obligation on jurors to state the </w:t>
      </w:r>
      <w:r>
        <w:rPr>
          <w:color w:val="000000"/>
          <w:sz w:val="24"/>
          <w:szCs w:val="24"/>
        </w:rPr>
        <w:t xml:space="preserve">reasons for their decisions. Following a 2010 legislative amendment in Belgium, judge and jurors </w:t>
      </w:r>
      <w:r>
        <w:rPr>
          <w:color w:val="000000"/>
          <w:sz w:val="24"/>
          <w:szCs w:val="24"/>
        </w:rPr>
        <w:t xml:space="preserve">formulate the judgment together. In Norway the Supreme Court in exceptional cases may instruct </w:t>
      </w:r>
      <w:r>
        <w:rPr>
          <w:color w:val="000000"/>
          <w:sz w:val="24"/>
          <w:szCs w:val="24"/>
        </w:rPr>
        <w:t xml:space="preserve">the High Courts to indicate the evidence that was decisive for the defendant’s conviction. In 1996 </w:t>
      </w:r>
      <w:r>
        <w:rPr>
          <w:color w:val="000000"/>
          <w:sz w:val="24"/>
          <w:szCs w:val="24"/>
        </w:rPr>
        <w:t>the legislators in Geneva adopted a similar solution: the la</w:t>
      </w:r>
      <w:r>
        <w:rPr>
          <w:color w:val="000000"/>
          <w:sz w:val="24"/>
          <w:szCs w:val="24"/>
        </w:rPr>
        <w:t xml:space="preserve">w requires jurors to give reasons for their </w:t>
      </w:r>
      <w:r>
        <w:rPr>
          <w:color w:val="000000"/>
          <w:sz w:val="24"/>
          <w:szCs w:val="24"/>
        </w:rPr>
        <w:t xml:space="preserve">responses to the questions addressed to them but allowed them to seek the assistance of the </w:t>
      </w:r>
      <w:proofErr w:type="spellStart"/>
      <w:r>
        <w:rPr>
          <w:color w:val="000000"/>
          <w:sz w:val="24"/>
          <w:szCs w:val="24"/>
        </w:rPr>
        <w:t>greffier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 formulating their reasons. And these are but a few of the examples available, examples to which </w:t>
      </w:r>
      <w:r>
        <w:rPr>
          <w:color w:val="000000"/>
          <w:sz w:val="24"/>
          <w:szCs w:val="24"/>
        </w:rPr>
        <w:t xml:space="preserve">we should look as inspiration for fair trial protection. There can be restrictions on the components </w:t>
      </w:r>
      <w:r>
        <w:rPr>
          <w:color w:val="000000"/>
          <w:sz w:val="24"/>
          <w:szCs w:val="24"/>
        </w:rPr>
        <w:t xml:space="preserve">of the rights to fair trial, but the total deprivation is contrary to the Charter. The reasons given for </w:t>
      </w:r>
      <w:r>
        <w:rPr>
          <w:color w:val="000000"/>
          <w:sz w:val="24"/>
          <w:szCs w:val="24"/>
        </w:rPr>
        <w:t xml:space="preserve">the judgment serve first as a guarantee against arbitrariness which is a precondition of creating and </w:t>
      </w:r>
      <w:r>
        <w:rPr>
          <w:color w:val="000000"/>
          <w:sz w:val="24"/>
          <w:szCs w:val="24"/>
        </w:rPr>
        <w:t xml:space="preserve">maintaining trust in the administration of justice. The reasons may reveal the deficiencies of the fact </w:t>
      </w:r>
      <w:r>
        <w:rPr>
          <w:color w:val="000000"/>
          <w:sz w:val="24"/>
          <w:szCs w:val="24"/>
        </w:rPr>
        <w:t>finding process or in the application of the law</w:t>
      </w:r>
      <w:r>
        <w:rPr>
          <w:color w:val="000000"/>
          <w:sz w:val="24"/>
          <w:szCs w:val="24"/>
        </w:rPr>
        <w:t xml:space="preserve"> to the facts established </w:t>
      </w:r>
      <w:proofErr w:type="gramStart"/>
      <w:r>
        <w:rPr>
          <w:color w:val="000000"/>
          <w:sz w:val="24"/>
          <w:szCs w:val="24"/>
        </w:rPr>
        <w:t xml:space="preserve">which is, in turn, a </w:t>
      </w:r>
      <w:r>
        <w:rPr>
          <w:color w:val="000000"/>
          <w:sz w:val="24"/>
          <w:szCs w:val="24"/>
        </w:rPr>
        <w:t>precondition for the effective exercise of the right to appeal</w:t>
      </w:r>
      <w:proofErr w:type="gramEnd"/>
      <w:r>
        <w:rPr>
          <w:color w:val="000000"/>
          <w:sz w:val="24"/>
          <w:szCs w:val="24"/>
        </w:rPr>
        <w:t xml:space="preserve">. Many doubts have been raised </w:t>
      </w:r>
      <w:r>
        <w:rPr>
          <w:color w:val="000000"/>
          <w:sz w:val="24"/>
          <w:szCs w:val="24"/>
        </w:rPr>
        <w:t xml:space="preserve">regarding the value that is to be attached to alternatives for reasoned judgment that could ensure the </w:t>
      </w:r>
      <w:r>
        <w:rPr>
          <w:color w:val="000000"/>
          <w:sz w:val="24"/>
          <w:szCs w:val="24"/>
        </w:rPr>
        <w:t>fairness o</w:t>
      </w:r>
      <w:r>
        <w:rPr>
          <w:color w:val="000000"/>
          <w:sz w:val="24"/>
          <w:szCs w:val="24"/>
        </w:rPr>
        <w:t xml:space="preserve">f the trial. Judicial independence and impartiality are frequently invoked to justify that </w:t>
      </w:r>
      <w:r>
        <w:rPr>
          <w:color w:val="000000"/>
          <w:sz w:val="24"/>
          <w:szCs w:val="24"/>
        </w:rPr>
        <w:t xml:space="preserve">juries are not under the obligation to give information on the motives of their decisions. It is in the </w:t>
      </w:r>
      <w:r>
        <w:rPr>
          <w:color w:val="000000"/>
          <w:sz w:val="24"/>
          <w:szCs w:val="24"/>
        </w:rPr>
        <w:t xml:space="preserve">name of said independence and impartiality that no one may require after verdict of the reasons for </w:t>
      </w:r>
      <w:r>
        <w:rPr>
          <w:color w:val="000000"/>
          <w:sz w:val="24"/>
          <w:szCs w:val="24"/>
        </w:rPr>
        <w:t xml:space="preserve">their decisions. However, we challenge the above mentioned idea and propose that there lies a </w:t>
      </w:r>
      <w:r>
        <w:rPr>
          <w:color w:val="000000"/>
          <w:sz w:val="24"/>
          <w:szCs w:val="24"/>
        </w:rPr>
        <w:t xml:space="preserve">strong relation of interdependence between independence and </w:t>
      </w:r>
      <w:r>
        <w:rPr>
          <w:color w:val="000000"/>
          <w:sz w:val="24"/>
          <w:szCs w:val="24"/>
        </w:rPr>
        <w:t xml:space="preserve">accountability. We believe that </w:t>
      </w:r>
      <w:r>
        <w:rPr>
          <w:color w:val="000000"/>
          <w:sz w:val="24"/>
          <w:szCs w:val="24"/>
        </w:rPr>
        <w:t xml:space="preserve">accountability does not curtail independence but that the two complement each other. Following </w:t>
      </w:r>
      <w:r>
        <w:rPr>
          <w:color w:val="000000"/>
          <w:sz w:val="24"/>
          <w:szCs w:val="24"/>
        </w:rPr>
        <w:t xml:space="preserve">this, the secrecy of deliberations, which has its value in the proper functioning of the jury, has no </w:t>
      </w:r>
      <w:r>
        <w:rPr>
          <w:color w:val="000000"/>
          <w:sz w:val="24"/>
          <w:szCs w:val="24"/>
        </w:rPr>
        <w:t>effect whatsoever on our</w:t>
      </w:r>
      <w:r>
        <w:rPr>
          <w:color w:val="000000"/>
          <w:sz w:val="24"/>
          <w:szCs w:val="24"/>
        </w:rPr>
        <w:t xml:space="preserve"> claim that reasons for judgments should be stated by jurors. After all, if we </w:t>
      </w:r>
      <w:r>
        <w:rPr>
          <w:color w:val="000000"/>
          <w:sz w:val="24"/>
          <w:szCs w:val="24"/>
        </w:rPr>
        <w:t xml:space="preserve">consider the jury to be, as it is, a truly adjudicating body, there is no reason why, just like the single </w:t>
      </w:r>
      <w:r>
        <w:rPr>
          <w:color w:val="000000"/>
          <w:sz w:val="24"/>
          <w:szCs w:val="24"/>
        </w:rPr>
        <w:t xml:space="preserve">judge, it should not, while maintaining its privilege to secrete deliberations, have to state its reasons </w:t>
      </w:r>
      <w:r>
        <w:rPr>
          <w:color w:val="000000"/>
          <w:sz w:val="24"/>
          <w:szCs w:val="24"/>
        </w:rPr>
        <w:t xml:space="preserve">for conclusions. </w:t>
      </w:r>
    </w:p>
    <w:sectPr w:rsidR="008A0EA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AD"/>
    <w:rsid w:val="004268E4"/>
    <w:rsid w:val="008A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2B2F4-2402-4ADE-8611-C7B8D83E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Mélisandre Shanks, Mlle</dc:creator>
  <cp:lastModifiedBy>Mélisandre Shanks, Mlle</cp:lastModifiedBy>
  <cp:revision>2</cp:revision>
  <dcterms:created xsi:type="dcterms:W3CDTF">2019-04-10T18:54:00Z</dcterms:created>
  <dcterms:modified xsi:type="dcterms:W3CDTF">2019-04-10T18:54:00Z</dcterms:modified>
</cp:coreProperties>
</file>