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A31CF" w14:textId="02F419CF" w:rsidR="00391843" w:rsidRPr="003C24C0" w:rsidRDefault="00391843" w:rsidP="003C24C0">
      <w:pPr>
        <w:spacing w:after="0" w:line="300" w:lineRule="atLeast"/>
        <w:jc w:val="center"/>
        <w:rPr>
          <w:rFonts w:ascii="Garamond" w:hAnsi="Garamond"/>
          <w:b/>
          <w:smallCaps/>
          <w:sz w:val="25"/>
          <w:szCs w:val="25"/>
        </w:rPr>
      </w:pPr>
      <w:bookmarkStart w:id="0" w:name="_GoBack"/>
      <w:bookmarkEnd w:id="0"/>
      <w:r w:rsidRPr="003C24C0">
        <w:rPr>
          <w:rFonts w:ascii="Garamond" w:hAnsi="Garamond"/>
          <w:b/>
          <w:smallCaps/>
          <w:sz w:val="25"/>
          <w:szCs w:val="25"/>
        </w:rPr>
        <w:t xml:space="preserve">Shareholder </w:t>
      </w:r>
      <w:r w:rsidR="003C24C0" w:rsidRPr="003C24C0">
        <w:rPr>
          <w:rFonts w:ascii="Garamond" w:hAnsi="Garamond"/>
          <w:b/>
          <w:smallCaps/>
          <w:sz w:val="25"/>
          <w:szCs w:val="25"/>
        </w:rPr>
        <w:t>Behavior at Controlled Companies:</w:t>
      </w:r>
      <w:r w:rsidR="003C24C0" w:rsidRPr="003C24C0">
        <w:rPr>
          <w:rFonts w:ascii="Garamond" w:hAnsi="Garamond"/>
          <w:b/>
          <w:smallCaps/>
          <w:sz w:val="25"/>
          <w:szCs w:val="25"/>
        </w:rPr>
        <w:br/>
      </w:r>
      <w:r w:rsidRPr="003C24C0">
        <w:rPr>
          <w:rFonts w:ascii="Garamond" w:hAnsi="Garamond"/>
          <w:b/>
          <w:smallCaps/>
          <w:sz w:val="25"/>
          <w:szCs w:val="25"/>
        </w:rPr>
        <w:t>The Strange Case of Tenured Voting</w:t>
      </w:r>
    </w:p>
    <w:p w14:paraId="0955A1B4" w14:textId="77777777" w:rsidR="00C01FBB" w:rsidRPr="003C24C0" w:rsidRDefault="00C01FBB" w:rsidP="003C24C0">
      <w:pPr>
        <w:spacing w:after="0" w:line="300" w:lineRule="atLeast"/>
        <w:jc w:val="center"/>
        <w:rPr>
          <w:rFonts w:ascii="Garamond" w:hAnsi="Garamond"/>
          <w:b/>
          <w:smallCaps/>
          <w:sz w:val="25"/>
          <w:szCs w:val="25"/>
        </w:rPr>
      </w:pPr>
    </w:p>
    <w:p w14:paraId="35291F27" w14:textId="77777777" w:rsidR="007B4FAF" w:rsidRPr="003C24C0" w:rsidRDefault="007B4FAF" w:rsidP="003C24C0">
      <w:pPr>
        <w:spacing w:after="0" w:line="300" w:lineRule="atLeast"/>
        <w:jc w:val="center"/>
        <w:rPr>
          <w:rFonts w:ascii="Garamond" w:hAnsi="Garamond"/>
          <w:smallCaps/>
          <w:sz w:val="25"/>
          <w:szCs w:val="25"/>
          <w:lang w:val="pt-PT"/>
        </w:rPr>
      </w:pPr>
      <w:r w:rsidRPr="003C24C0">
        <w:rPr>
          <w:rFonts w:ascii="Garamond" w:hAnsi="Garamond"/>
          <w:smallCaps/>
          <w:sz w:val="25"/>
          <w:szCs w:val="25"/>
          <w:lang w:val="pt-PT"/>
        </w:rPr>
        <w:t>Chiara Mosca - Maria Lucia Passador</w:t>
      </w:r>
    </w:p>
    <w:p w14:paraId="059CEDD1" w14:textId="775EC2AC" w:rsidR="00C01FBB" w:rsidRDefault="00C01FBB" w:rsidP="003C24C0">
      <w:pPr>
        <w:spacing w:after="0" w:line="300" w:lineRule="atLeast"/>
        <w:jc w:val="center"/>
        <w:rPr>
          <w:rFonts w:ascii="Garamond" w:hAnsi="Garamond"/>
          <w:smallCaps/>
          <w:sz w:val="25"/>
          <w:szCs w:val="25"/>
          <w:lang w:val="pt-PT"/>
        </w:rPr>
      </w:pPr>
    </w:p>
    <w:p w14:paraId="095F41E4" w14:textId="23AE6C2D" w:rsidR="003C24C0" w:rsidRDefault="003C24C0" w:rsidP="003C24C0">
      <w:pPr>
        <w:spacing w:after="0" w:line="300" w:lineRule="atLeast"/>
        <w:jc w:val="center"/>
        <w:rPr>
          <w:rFonts w:ascii="Garamond" w:hAnsi="Garamond"/>
          <w:smallCaps/>
          <w:sz w:val="25"/>
          <w:szCs w:val="25"/>
          <w:lang w:val="pt-PT"/>
        </w:rPr>
      </w:pPr>
    </w:p>
    <w:p w14:paraId="705C2BD0" w14:textId="77777777" w:rsidR="005E65C8" w:rsidRPr="003C24C0" w:rsidRDefault="005E65C8" w:rsidP="003C24C0">
      <w:pPr>
        <w:spacing w:after="0" w:line="300" w:lineRule="atLeast"/>
        <w:jc w:val="center"/>
        <w:rPr>
          <w:rFonts w:ascii="Garamond" w:hAnsi="Garamond"/>
          <w:b/>
          <w:smallCaps/>
          <w:sz w:val="25"/>
          <w:szCs w:val="25"/>
          <w:lang w:val="pt-PT"/>
        </w:rPr>
      </w:pPr>
      <w:r w:rsidRPr="003C24C0">
        <w:rPr>
          <w:rFonts w:ascii="Garamond" w:hAnsi="Garamond"/>
          <w:b/>
          <w:smallCaps/>
          <w:sz w:val="25"/>
          <w:szCs w:val="25"/>
          <w:lang w:val="pt-PT"/>
        </w:rPr>
        <w:t>Abstract</w:t>
      </w:r>
    </w:p>
    <w:p w14:paraId="1B09AFF1" w14:textId="77777777" w:rsidR="007B4FAF" w:rsidRPr="003C24C0" w:rsidRDefault="007B4FAF" w:rsidP="003C24C0">
      <w:pPr>
        <w:spacing w:after="0" w:line="300" w:lineRule="atLeast"/>
        <w:jc w:val="both"/>
        <w:rPr>
          <w:rFonts w:ascii="Garamond" w:hAnsi="Garamond"/>
          <w:sz w:val="25"/>
          <w:szCs w:val="25"/>
          <w:lang w:val="pt-PT"/>
        </w:rPr>
      </w:pPr>
    </w:p>
    <w:p w14:paraId="2E85DF9C" w14:textId="489AE495" w:rsidR="008D6E5C" w:rsidRPr="003C24C0" w:rsidRDefault="00475A81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Despite being </w:t>
      </w:r>
      <w:r w:rsidR="007850B9" w:rsidRPr="003C24C0">
        <w:rPr>
          <w:rFonts w:ascii="Garamond" w:hAnsi="Garamond"/>
          <w:sz w:val="25"/>
          <w:szCs w:val="25"/>
        </w:rPr>
        <w:t>a cumbers</w:t>
      </w:r>
      <w:r w:rsidR="00621732" w:rsidRPr="003C24C0">
        <w:rPr>
          <w:rFonts w:ascii="Garamond" w:hAnsi="Garamond"/>
          <w:sz w:val="25"/>
          <w:szCs w:val="25"/>
        </w:rPr>
        <w:t>ome principle of corporate governance</w:t>
      </w:r>
      <w:r w:rsidRPr="003C24C0">
        <w:rPr>
          <w:rFonts w:ascii="Garamond" w:hAnsi="Garamond"/>
          <w:sz w:val="25"/>
          <w:szCs w:val="25"/>
        </w:rPr>
        <w:t xml:space="preserve">, the “one share one vote principle” is </w:t>
      </w:r>
      <w:r w:rsidR="00621732" w:rsidRPr="003C24C0">
        <w:rPr>
          <w:rFonts w:ascii="Garamond" w:hAnsi="Garamond"/>
          <w:sz w:val="25"/>
          <w:szCs w:val="25"/>
        </w:rPr>
        <w:t>constantly challenged</w:t>
      </w:r>
      <w:r w:rsidR="005C20B0" w:rsidRPr="003C24C0">
        <w:rPr>
          <w:rFonts w:ascii="Garamond" w:hAnsi="Garamond"/>
          <w:sz w:val="25"/>
          <w:szCs w:val="25"/>
        </w:rPr>
        <w:t xml:space="preserve"> </w:t>
      </w:r>
      <w:r w:rsidR="00621732" w:rsidRPr="003C24C0">
        <w:rPr>
          <w:rFonts w:ascii="Garamond" w:hAnsi="Garamond"/>
          <w:sz w:val="25"/>
          <w:szCs w:val="25"/>
        </w:rPr>
        <w:t xml:space="preserve">by several </w:t>
      </w:r>
      <w:r w:rsidRPr="003C24C0">
        <w:rPr>
          <w:rFonts w:ascii="Garamond" w:hAnsi="Garamond"/>
          <w:sz w:val="25"/>
          <w:szCs w:val="25"/>
        </w:rPr>
        <w:t>attempts to circumvent the original structure of capitalism democracy</w:t>
      </w:r>
      <w:r w:rsidR="00242D3D" w:rsidRPr="003C24C0">
        <w:rPr>
          <w:rFonts w:ascii="Garamond" w:hAnsi="Garamond"/>
          <w:sz w:val="25"/>
          <w:szCs w:val="25"/>
        </w:rPr>
        <w:t>,</w:t>
      </w:r>
      <w:r w:rsidRPr="003C24C0">
        <w:rPr>
          <w:rFonts w:ascii="Garamond" w:hAnsi="Garamond"/>
          <w:sz w:val="25"/>
          <w:szCs w:val="25"/>
        </w:rPr>
        <w:t xml:space="preserve"> provid</w:t>
      </w:r>
      <w:r w:rsidR="00242D3D" w:rsidRPr="003C24C0">
        <w:rPr>
          <w:rFonts w:ascii="Garamond" w:hAnsi="Garamond"/>
          <w:sz w:val="25"/>
          <w:szCs w:val="25"/>
        </w:rPr>
        <w:t>ed</w:t>
      </w:r>
      <w:r w:rsidRPr="003C24C0">
        <w:rPr>
          <w:rFonts w:ascii="Garamond" w:hAnsi="Garamond"/>
          <w:sz w:val="25"/>
          <w:szCs w:val="25"/>
        </w:rPr>
        <w:t xml:space="preserve"> that no more and no less than one vote </w:t>
      </w:r>
      <w:r w:rsidR="005C20B0" w:rsidRPr="003C24C0">
        <w:rPr>
          <w:rFonts w:ascii="Garamond" w:hAnsi="Garamond"/>
          <w:sz w:val="25"/>
          <w:szCs w:val="25"/>
        </w:rPr>
        <w:t xml:space="preserve">is </w:t>
      </w:r>
      <w:r w:rsidR="00242D3D" w:rsidRPr="003C24C0">
        <w:rPr>
          <w:rFonts w:ascii="Garamond" w:hAnsi="Garamond"/>
          <w:sz w:val="25"/>
          <w:szCs w:val="25"/>
        </w:rPr>
        <w:t>attributed to each share.</w:t>
      </w:r>
      <w:r w:rsidRPr="003C24C0">
        <w:rPr>
          <w:rFonts w:ascii="Garamond" w:hAnsi="Garamond"/>
          <w:sz w:val="25"/>
          <w:szCs w:val="25"/>
        </w:rPr>
        <w:t xml:space="preserve"> </w:t>
      </w:r>
    </w:p>
    <w:p w14:paraId="5DAF813F" w14:textId="2DD2FFC1" w:rsidR="00BD507B" w:rsidRPr="003C24C0" w:rsidRDefault="00475A81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Our paper </w:t>
      </w:r>
      <w:r w:rsidR="00BD507B" w:rsidRPr="003C24C0">
        <w:rPr>
          <w:rFonts w:ascii="Garamond" w:hAnsi="Garamond"/>
          <w:sz w:val="25"/>
          <w:szCs w:val="25"/>
        </w:rPr>
        <w:t xml:space="preserve">deals with </w:t>
      </w:r>
      <w:r w:rsidR="005C20B0" w:rsidRPr="003C24C0">
        <w:rPr>
          <w:rFonts w:ascii="Garamond" w:hAnsi="Garamond"/>
          <w:sz w:val="25"/>
          <w:szCs w:val="25"/>
        </w:rPr>
        <w:t xml:space="preserve">one of the most recent mechanism </w:t>
      </w:r>
      <w:r w:rsidR="00242D3D" w:rsidRPr="003C24C0">
        <w:rPr>
          <w:rFonts w:ascii="Garamond" w:hAnsi="Garamond"/>
          <w:sz w:val="25"/>
          <w:szCs w:val="25"/>
        </w:rPr>
        <w:t>to depart</w:t>
      </w:r>
      <w:r w:rsidR="005C20B0" w:rsidRPr="003C24C0">
        <w:rPr>
          <w:rFonts w:ascii="Garamond" w:hAnsi="Garamond"/>
          <w:sz w:val="25"/>
          <w:szCs w:val="25"/>
        </w:rPr>
        <w:t xml:space="preserve"> from this rule</w:t>
      </w:r>
      <w:r w:rsidR="00242D3D" w:rsidRPr="003C24C0">
        <w:rPr>
          <w:rFonts w:ascii="Garamond" w:hAnsi="Garamond"/>
          <w:sz w:val="25"/>
          <w:szCs w:val="25"/>
        </w:rPr>
        <w:t xml:space="preserve"> </w:t>
      </w:r>
      <w:r w:rsidR="005C20B0" w:rsidRPr="003C24C0">
        <w:rPr>
          <w:rFonts w:ascii="Garamond" w:hAnsi="Garamond"/>
          <w:sz w:val="25"/>
          <w:szCs w:val="25"/>
        </w:rPr>
        <w:sym w:font="Symbol" w:char="F02D"/>
      </w:r>
      <w:r w:rsidR="00242D3D" w:rsidRPr="003C24C0">
        <w:rPr>
          <w:rFonts w:ascii="Garamond" w:hAnsi="Garamond"/>
          <w:sz w:val="25"/>
          <w:szCs w:val="25"/>
        </w:rPr>
        <w:t xml:space="preserve"> </w:t>
      </w:r>
      <w:r w:rsidR="005C20B0" w:rsidRPr="003C24C0">
        <w:rPr>
          <w:rFonts w:ascii="Garamond" w:hAnsi="Garamond"/>
          <w:sz w:val="25"/>
          <w:szCs w:val="25"/>
        </w:rPr>
        <w:t>namely tenure voting rights</w:t>
      </w:r>
      <w:r w:rsidR="00242D3D" w:rsidRPr="003C24C0">
        <w:rPr>
          <w:rFonts w:ascii="Garamond" w:hAnsi="Garamond"/>
          <w:sz w:val="25"/>
          <w:szCs w:val="25"/>
        </w:rPr>
        <w:t xml:space="preserve"> </w:t>
      </w:r>
      <w:r w:rsidR="005C20B0" w:rsidRPr="003C24C0">
        <w:rPr>
          <w:rFonts w:ascii="Garamond" w:hAnsi="Garamond"/>
          <w:sz w:val="25"/>
          <w:szCs w:val="25"/>
        </w:rPr>
        <w:sym w:font="Symbol" w:char="F02D"/>
      </w:r>
      <w:r w:rsidR="005C20B0" w:rsidRPr="003C24C0">
        <w:rPr>
          <w:rFonts w:ascii="Garamond" w:hAnsi="Garamond"/>
          <w:sz w:val="25"/>
          <w:szCs w:val="25"/>
        </w:rPr>
        <w:t xml:space="preserve"> which is gaining ground </w:t>
      </w:r>
      <w:r w:rsidR="00242D3D" w:rsidRPr="003C24C0">
        <w:rPr>
          <w:rFonts w:ascii="Garamond" w:hAnsi="Garamond"/>
          <w:sz w:val="25"/>
          <w:szCs w:val="25"/>
        </w:rPr>
        <w:t xml:space="preserve">in </w:t>
      </w:r>
      <w:r w:rsidR="005C20B0" w:rsidRPr="003C24C0">
        <w:rPr>
          <w:rFonts w:ascii="Garamond" w:hAnsi="Garamond"/>
          <w:sz w:val="25"/>
          <w:szCs w:val="25"/>
        </w:rPr>
        <w:t xml:space="preserve">both </w:t>
      </w:r>
      <w:r w:rsidR="00242D3D" w:rsidRPr="003C24C0">
        <w:rPr>
          <w:rFonts w:ascii="Garamond" w:hAnsi="Garamond"/>
          <w:sz w:val="25"/>
          <w:szCs w:val="25"/>
        </w:rPr>
        <w:t>the US</w:t>
      </w:r>
      <w:r w:rsidR="005C20B0" w:rsidRPr="003C24C0">
        <w:rPr>
          <w:rFonts w:ascii="Garamond" w:hAnsi="Garamond"/>
          <w:sz w:val="25"/>
          <w:szCs w:val="25"/>
        </w:rPr>
        <w:t xml:space="preserve"> and continental Europe, through contractual adaptation</w:t>
      </w:r>
      <w:r w:rsidR="00242D3D" w:rsidRPr="003C24C0">
        <w:rPr>
          <w:rFonts w:ascii="Garamond" w:hAnsi="Garamond"/>
          <w:sz w:val="25"/>
          <w:szCs w:val="25"/>
        </w:rPr>
        <w:t>,</w:t>
      </w:r>
      <w:r w:rsidR="005C20B0" w:rsidRPr="003C24C0">
        <w:rPr>
          <w:rFonts w:ascii="Garamond" w:hAnsi="Garamond"/>
          <w:sz w:val="25"/>
          <w:szCs w:val="25"/>
        </w:rPr>
        <w:t xml:space="preserve"> in the </w:t>
      </w:r>
      <w:r w:rsidR="00242D3D" w:rsidRPr="003C24C0">
        <w:rPr>
          <w:rFonts w:ascii="Garamond" w:hAnsi="Garamond"/>
          <w:sz w:val="25"/>
          <w:szCs w:val="25"/>
        </w:rPr>
        <w:t>former</w:t>
      </w:r>
      <w:r w:rsidR="005C20B0" w:rsidRPr="003C24C0">
        <w:rPr>
          <w:rFonts w:ascii="Garamond" w:hAnsi="Garamond"/>
          <w:sz w:val="25"/>
          <w:szCs w:val="25"/>
        </w:rPr>
        <w:t xml:space="preserve"> case, and through legislative intervention </w:t>
      </w:r>
      <w:r w:rsidR="00245C44" w:rsidRPr="003C24C0">
        <w:rPr>
          <w:rFonts w:ascii="Garamond" w:hAnsi="Garamond"/>
          <w:sz w:val="25"/>
          <w:szCs w:val="25"/>
        </w:rPr>
        <w:t>by an increasing number of Member States</w:t>
      </w:r>
      <w:r w:rsidR="00242D3D" w:rsidRPr="003C24C0">
        <w:rPr>
          <w:rFonts w:ascii="Garamond" w:hAnsi="Garamond"/>
          <w:sz w:val="25"/>
          <w:szCs w:val="25"/>
        </w:rPr>
        <w:t>,</w:t>
      </w:r>
      <w:r w:rsidR="00245C44" w:rsidRPr="003C24C0">
        <w:rPr>
          <w:rFonts w:ascii="Garamond" w:hAnsi="Garamond"/>
          <w:sz w:val="25"/>
          <w:szCs w:val="25"/>
        </w:rPr>
        <w:t xml:space="preserve"> </w:t>
      </w:r>
      <w:r w:rsidR="005C20B0" w:rsidRPr="003C24C0">
        <w:rPr>
          <w:rFonts w:ascii="Garamond" w:hAnsi="Garamond"/>
          <w:sz w:val="25"/>
          <w:szCs w:val="25"/>
        </w:rPr>
        <w:t xml:space="preserve">in the </w:t>
      </w:r>
      <w:r w:rsidR="00242D3D" w:rsidRPr="003C24C0">
        <w:rPr>
          <w:rFonts w:ascii="Garamond" w:hAnsi="Garamond"/>
          <w:sz w:val="25"/>
          <w:szCs w:val="25"/>
        </w:rPr>
        <w:t>latter</w:t>
      </w:r>
      <w:r w:rsidR="005C20B0" w:rsidRPr="003C24C0">
        <w:rPr>
          <w:rFonts w:ascii="Garamond" w:hAnsi="Garamond"/>
          <w:sz w:val="25"/>
          <w:szCs w:val="25"/>
        </w:rPr>
        <w:t>.</w:t>
      </w:r>
      <w:r w:rsidR="00245C44" w:rsidRPr="003C24C0">
        <w:rPr>
          <w:rFonts w:ascii="Garamond" w:hAnsi="Garamond"/>
          <w:sz w:val="25"/>
          <w:szCs w:val="25"/>
        </w:rPr>
        <w:t xml:space="preserve"> </w:t>
      </w:r>
      <w:r w:rsidR="00BD507B" w:rsidRPr="003C24C0">
        <w:rPr>
          <w:rFonts w:ascii="Garamond" w:hAnsi="Garamond"/>
          <w:sz w:val="25"/>
          <w:szCs w:val="25"/>
        </w:rPr>
        <w:t xml:space="preserve">The </w:t>
      </w:r>
      <w:r w:rsidR="00242D3D" w:rsidRPr="003C24C0">
        <w:rPr>
          <w:rFonts w:ascii="Garamond" w:hAnsi="Garamond"/>
          <w:sz w:val="25"/>
          <w:szCs w:val="25"/>
        </w:rPr>
        <w:t xml:space="preserve">US </w:t>
      </w:r>
      <w:r w:rsidR="00245C44" w:rsidRPr="003C24C0">
        <w:rPr>
          <w:rFonts w:ascii="Garamond" w:hAnsi="Garamond"/>
          <w:sz w:val="25"/>
          <w:szCs w:val="25"/>
        </w:rPr>
        <w:t xml:space="preserve">proposal to create a Long-Term Stock Exchange, in order to reduce short-term stock market </w:t>
      </w:r>
      <w:r w:rsidR="00242D3D" w:rsidRPr="003C24C0">
        <w:rPr>
          <w:rFonts w:ascii="Garamond" w:hAnsi="Garamond"/>
          <w:sz w:val="25"/>
          <w:szCs w:val="25"/>
        </w:rPr>
        <w:t xml:space="preserve">pressure </w:t>
      </w:r>
      <w:r w:rsidR="003C24C0" w:rsidRPr="003C24C0">
        <w:rPr>
          <w:rFonts w:ascii="Garamond" w:hAnsi="Garamond"/>
          <w:sz w:val="25"/>
          <w:szCs w:val="25"/>
        </w:rPr>
        <w:t>on the CEOs</w:t>
      </w:r>
      <w:r w:rsidR="00245C44" w:rsidRPr="003C24C0">
        <w:rPr>
          <w:rFonts w:ascii="Garamond" w:hAnsi="Garamond"/>
          <w:sz w:val="25"/>
          <w:szCs w:val="25"/>
        </w:rPr>
        <w:t xml:space="preserve">, thereby allowing </w:t>
      </w:r>
      <w:r w:rsidR="00242D3D" w:rsidRPr="003C24C0">
        <w:rPr>
          <w:rFonts w:ascii="Garamond" w:hAnsi="Garamond"/>
          <w:sz w:val="25"/>
          <w:szCs w:val="25"/>
        </w:rPr>
        <w:t>them to</w:t>
      </w:r>
      <w:r w:rsidR="00245C44" w:rsidRPr="003C24C0">
        <w:rPr>
          <w:rFonts w:ascii="Garamond" w:hAnsi="Garamond"/>
          <w:sz w:val="25"/>
          <w:szCs w:val="25"/>
        </w:rPr>
        <w:t xml:space="preserve"> focus </w:t>
      </w:r>
      <w:r w:rsidR="00242D3D" w:rsidRPr="003C24C0">
        <w:rPr>
          <w:rFonts w:ascii="Garamond" w:hAnsi="Garamond"/>
          <w:sz w:val="25"/>
          <w:szCs w:val="25"/>
        </w:rPr>
        <w:t xml:space="preserve">more </w:t>
      </w:r>
      <w:r w:rsidR="00245C44" w:rsidRPr="003C24C0">
        <w:rPr>
          <w:rFonts w:ascii="Garamond" w:hAnsi="Garamond"/>
          <w:sz w:val="25"/>
          <w:szCs w:val="25"/>
        </w:rPr>
        <w:t xml:space="preserve">on innovation, </w:t>
      </w:r>
      <w:r w:rsidR="00242D3D" w:rsidRPr="003C24C0">
        <w:rPr>
          <w:rFonts w:ascii="Garamond" w:hAnsi="Garamond"/>
          <w:sz w:val="25"/>
          <w:szCs w:val="25"/>
        </w:rPr>
        <w:t xml:space="preserve">significantly reflects </w:t>
      </w:r>
      <w:r w:rsidR="00245C44" w:rsidRPr="003C24C0">
        <w:rPr>
          <w:rFonts w:ascii="Garamond" w:hAnsi="Garamond"/>
          <w:sz w:val="25"/>
          <w:szCs w:val="25"/>
        </w:rPr>
        <w:t xml:space="preserve">the </w:t>
      </w:r>
      <w:r w:rsidR="00865846" w:rsidRPr="003C24C0">
        <w:rPr>
          <w:rFonts w:ascii="Garamond" w:hAnsi="Garamond"/>
          <w:sz w:val="25"/>
          <w:szCs w:val="25"/>
        </w:rPr>
        <w:t xml:space="preserve">growing attention </w:t>
      </w:r>
      <w:r w:rsidR="00242D3D" w:rsidRPr="003C24C0">
        <w:rPr>
          <w:rFonts w:ascii="Garamond" w:hAnsi="Garamond"/>
          <w:sz w:val="25"/>
          <w:szCs w:val="25"/>
        </w:rPr>
        <w:t>on</w:t>
      </w:r>
      <w:r w:rsidR="00865846" w:rsidRPr="003C24C0">
        <w:rPr>
          <w:rFonts w:ascii="Garamond" w:hAnsi="Garamond"/>
          <w:sz w:val="25"/>
          <w:szCs w:val="25"/>
        </w:rPr>
        <w:t xml:space="preserve"> mechanisms</w:t>
      </w:r>
      <w:r w:rsidR="00002BB5" w:rsidRPr="003C24C0">
        <w:rPr>
          <w:rFonts w:ascii="Garamond" w:hAnsi="Garamond"/>
          <w:sz w:val="25"/>
          <w:szCs w:val="25"/>
        </w:rPr>
        <w:t xml:space="preserve"> </w:t>
      </w:r>
      <w:r w:rsidR="00242D3D" w:rsidRPr="003C24C0">
        <w:rPr>
          <w:rFonts w:ascii="Garamond" w:hAnsi="Garamond"/>
          <w:sz w:val="25"/>
          <w:szCs w:val="25"/>
        </w:rPr>
        <w:t>that</w:t>
      </w:r>
      <w:r w:rsidR="00002BB5" w:rsidRPr="003C24C0">
        <w:rPr>
          <w:rFonts w:ascii="Garamond" w:hAnsi="Garamond"/>
          <w:sz w:val="25"/>
          <w:szCs w:val="25"/>
        </w:rPr>
        <w:t xml:space="preserve"> </w:t>
      </w:r>
      <w:r w:rsidR="00242D3D" w:rsidRPr="003C24C0">
        <w:rPr>
          <w:rFonts w:ascii="Garamond" w:hAnsi="Garamond"/>
          <w:sz w:val="25"/>
          <w:szCs w:val="25"/>
        </w:rPr>
        <w:t>reward</w:t>
      </w:r>
      <w:r w:rsidR="00002BB5" w:rsidRPr="003C24C0">
        <w:rPr>
          <w:rFonts w:ascii="Garamond" w:hAnsi="Garamond"/>
          <w:sz w:val="25"/>
          <w:szCs w:val="25"/>
        </w:rPr>
        <w:t xml:space="preserve"> long-term investment and shareholders’ long-term perspective</w:t>
      </w:r>
      <w:r w:rsidR="00BD507B" w:rsidRPr="003C24C0">
        <w:rPr>
          <w:rFonts w:ascii="Garamond" w:hAnsi="Garamond"/>
          <w:sz w:val="25"/>
          <w:szCs w:val="25"/>
        </w:rPr>
        <w:t>.</w:t>
      </w:r>
      <w:r w:rsidR="00002BB5" w:rsidRPr="003C24C0">
        <w:rPr>
          <w:rFonts w:ascii="Garamond" w:hAnsi="Garamond"/>
          <w:sz w:val="25"/>
          <w:szCs w:val="25"/>
        </w:rPr>
        <w:t xml:space="preserve"> </w:t>
      </w:r>
      <w:r w:rsidR="00FB19E0" w:rsidRPr="003C24C0">
        <w:rPr>
          <w:rFonts w:ascii="Garamond" w:hAnsi="Garamond"/>
          <w:sz w:val="25"/>
          <w:szCs w:val="25"/>
        </w:rPr>
        <w:t>In this respect</w:t>
      </w:r>
      <w:r w:rsidR="00002BB5" w:rsidRPr="003C24C0">
        <w:rPr>
          <w:rFonts w:ascii="Garamond" w:hAnsi="Garamond"/>
          <w:sz w:val="25"/>
          <w:szCs w:val="25"/>
        </w:rPr>
        <w:t xml:space="preserve">, the adoption of tenured voting (also </w:t>
      </w:r>
      <w:r w:rsidR="00242D3D" w:rsidRPr="003C24C0">
        <w:rPr>
          <w:rFonts w:ascii="Garamond" w:hAnsi="Garamond"/>
          <w:sz w:val="25"/>
          <w:szCs w:val="25"/>
        </w:rPr>
        <w:t xml:space="preserve">referred to </w:t>
      </w:r>
      <w:r w:rsidR="00002BB5" w:rsidRPr="003C24C0">
        <w:rPr>
          <w:rFonts w:ascii="Garamond" w:hAnsi="Garamond"/>
          <w:sz w:val="25"/>
          <w:szCs w:val="25"/>
        </w:rPr>
        <w:t>as “time-phased voting rights” or, slightly</w:t>
      </w:r>
      <w:r w:rsidR="003C24C0" w:rsidRPr="003C24C0">
        <w:rPr>
          <w:rFonts w:ascii="Garamond" w:hAnsi="Garamond"/>
          <w:sz w:val="25"/>
          <w:szCs w:val="25"/>
        </w:rPr>
        <w:t xml:space="preserve"> improperly, “loyalty shares”) represents</w:t>
      </w:r>
      <w:r w:rsidR="00002BB5" w:rsidRPr="003C24C0">
        <w:rPr>
          <w:rFonts w:ascii="Garamond" w:hAnsi="Garamond"/>
          <w:sz w:val="25"/>
          <w:szCs w:val="25"/>
        </w:rPr>
        <w:t xml:space="preserve"> one of the main </w:t>
      </w:r>
      <w:r w:rsidR="00FB19E0" w:rsidRPr="003C24C0">
        <w:rPr>
          <w:rFonts w:ascii="Garamond" w:hAnsi="Garamond"/>
          <w:sz w:val="25"/>
          <w:szCs w:val="25"/>
        </w:rPr>
        <w:t xml:space="preserve">feature </w:t>
      </w:r>
      <w:r w:rsidR="00002BB5" w:rsidRPr="003C24C0">
        <w:rPr>
          <w:rFonts w:ascii="Garamond" w:hAnsi="Garamond"/>
          <w:sz w:val="25"/>
          <w:szCs w:val="25"/>
        </w:rPr>
        <w:t xml:space="preserve">of </w:t>
      </w:r>
      <w:r w:rsidR="00FB19E0" w:rsidRPr="003C24C0">
        <w:rPr>
          <w:rFonts w:ascii="Garamond" w:hAnsi="Garamond"/>
          <w:sz w:val="25"/>
          <w:szCs w:val="25"/>
        </w:rPr>
        <w:t xml:space="preserve">this </w:t>
      </w:r>
      <w:r w:rsidR="00002BB5" w:rsidRPr="003C24C0">
        <w:rPr>
          <w:rFonts w:ascii="Garamond" w:hAnsi="Garamond"/>
          <w:sz w:val="25"/>
          <w:szCs w:val="25"/>
        </w:rPr>
        <w:t xml:space="preserve">new </w:t>
      </w:r>
      <w:r w:rsidR="008D6E5C" w:rsidRPr="003C24C0">
        <w:rPr>
          <w:rFonts w:ascii="Garamond" w:hAnsi="Garamond"/>
          <w:sz w:val="25"/>
          <w:szCs w:val="25"/>
        </w:rPr>
        <w:t xml:space="preserve">Stock </w:t>
      </w:r>
      <w:r w:rsidR="00002BB5" w:rsidRPr="003C24C0">
        <w:rPr>
          <w:rFonts w:ascii="Garamond" w:hAnsi="Garamond"/>
          <w:sz w:val="25"/>
          <w:szCs w:val="25"/>
        </w:rPr>
        <w:t>Exchange.</w:t>
      </w:r>
    </w:p>
    <w:p w14:paraId="39BD7F78" w14:textId="3B7C91D3" w:rsidR="008D6E5C" w:rsidRPr="003C24C0" w:rsidRDefault="00FB19E0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We believe (and found empirical evidence </w:t>
      </w:r>
      <w:r w:rsidR="00242D3D" w:rsidRPr="003C24C0">
        <w:rPr>
          <w:rFonts w:ascii="Garamond" w:hAnsi="Garamond"/>
          <w:sz w:val="25"/>
          <w:szCs w:val="25"/>
        </w:rPr>
        <w:t>for</w:t>
      </w:r>
      <w:r w:rsidRPr="003C24C0">
        <w:rPr>
          <w:rFonts w:ascii="Garamond" w:hAnsi="Garamond"/>
          <w:sz w:val="25"/>
          <w:szCs w:val="25"/>
        </w:rPr>
        <w:t xml:space="preserve"> such intuition) that </w:t>
      </w:r>
      <w:r w:rsidR="00242D3D" w:rsidRPr="003C24C0">
        <w:rPr>
          <w:rFonts w:ascii="Garamond" w:hAnsi="Garamond"/>
          <w:sz w:val="25"/>
          <w:szCs w:val="25"/>
        </w:rPr>
        <w:t>shareholding</w:t>
      </w:r>
      <w:r w:rsidR="00C80BBA" w:rsidRPr="003C24C0">
        <w:rPr>
          <w:rFonts w:ascii="Garamond" w:hAnsi="Garamond"/>
          <w:sz w:val="25"/>
          <w:szCs w:val="25"/>
        </w:rPr>
        <w:t xml:space="preserve"> basis plays a fundamental </w:t>
      </w:r>
      <w:r w:rsidR="008D6E5C" w:rsidRPr="003C24C0">
        <w:rPr>
          <w:rFonts w:ascii="Garamond" w:hAnsi="Garamond"/>
          <w:sz w:val="25"/>
          <w:szCs w:val="25"/>
        </w:rPr>
        <w:t xml:space="preserve">role </w:t>
      </w:r>
      <w:r w:rsidR="00C80BBA" w:rsidRPr="003C24C0">
        <w:rPr>
          <w:rFonts w:ascii="Garamond" w:hAnsi="Garamond"/>
          <w:sz w:val="25"/>
          <w:szCs w:val="25"/>
        </w:rPr>
        <w:t xml:space="preserve">in the selection of companies that adopted tenured voting even </w:t>
      </w:r>
      <w:r w:rsidR="00242D3D" w:rsidRPr="003C24C0">
        <w:rPr>
          <w:rFonts w:ascii="Garamond" w:hAnsi="Garamond"/>
          <w:sz w:val="25"/>
          <w:szCs w:val="25"/>
        </w:rPr>
        <w:t xml:space="preserve">though </w:t>
      </w:r>
      <w:r w:rsidR="00C80BBA" w:rsidRPr="003C24C0">
        <w:rPr>
          <w:rFonts w:ascii="Garamond" w:hAnsi="Garamond"/>
          <w:sz w:val="25"/>
          <w:szCs w:val="25"/>
        </w:rPr>
        <w:t xml:space="preserve">such </w:t>
      </w:r>
      <w:r w:rsidR="00242D3D" w:rsidRPr="003C24C0">
        <w:rPr>
          <w:rFonts w:ascii="Garamond" w:hAnsi="Garamond"/>
          <w:sz w:val="25"/>
          <w:szCs w:val="25"/>
        </w:rPr>
        <w:t xml:space="preserve">diversity </w:t>
      </w:r>
      <w:r w:rsidR="00C80BBA" w:rsidRPr="003C24C0">
        <w:rPr>
          <w:rFonts w:ascii="Garamond" w:hAnsi="Garamond"/>
          <w:sz w:val="25"/>
          <w:szCs w:val="25"/>
        </w:rPr>
        <w:t xml:space="preserve">cannot be understood without describing the </w:t>
      </w:r>
      <w:r w:rsidR="008D6E5C" w:rsidRPr="003C24C0">
        <w:rPr>
          <w:rFonts w:ascii="Garamond" w:hAnsi="Garamond"/>
          <w:sz w:val="25"/>
          <w:szCs w:val="25"/>
        </w:rPr>
        <w:t xml:space="preserve">different </w:t>
      </w:r>
      <w:r w:rsidR="0046464D" w:rsidRPr="003C24C0">
        <w:rPr>
          <w:rFonts w:ascii="Garamond" w:hAnsi="Garamond"/>
          <w:sz w:val="25"/>
          <w:szCs w:val="25"/>
        </w:rPr>
        <w:t xml:space="preserve">environment in which tenured voting has been </w:t>
      </w:r>
      <w:r w:rsidR="00242D3D" w:rsidRPr="003C24C0">
        <w:rPr>
          <w:rFonts w:ascii="Garamond" w:hAnsi="Garamond"/>
          <w:sz w:val="25"/>
          <w:szCs w:val="25"/>
        </w:rPr>
        <w:t>designed in the US</w:t>
      </w:r>
      <w:r w:rsidR="0046464D" w:rsidRPr="003C24C0">
        <w:rPr>
          <w:rFonts w:ascii="Garamond" w:hAnsi="Garamond"/>
          <w:sz w:val="25"/>
          <w:szCs w:val="25"/>
        </w:rPr>
        <w:t xml:space="preserve"> and in Europe. </w:t>
      </w:r>
      <w:r w:rsidR="00865846" w:rsidRPr="003C24C0">
        <w:rPr>
          <w:rFonts w:ascii="Garamond" w:hAnsi="Garamond"/>
          <w:sz w:val="25"/>
          <w:szCs w:val="25"/>
        </w:rPr>
        <w:t xml:space="preserve">Also in light of the ideas that emerged from overseas academic scholars, </w:t>
      </w:r>
      <w:r w:rsidR="008D6E5C" w:rsidRPr="003C24C0">
        <w:rPr>
          <w:rFonts w:ascii="Garamond" w:hAnsi="Garamond"/>
          <w:sz w:val="25"/>
          <w:szCs w:val="25"/>
        </w:rPr>
        <w:t xml:space="preserve">the article </w:t>
      </w:r>
      <w:r w:rsidR="00865846" w:rsidRPr="003C24C0">
        <w:rPr>
          <w:rFonts w:ascii="Garamond" w:hAnsi="Garamond"/>
          <w:sz w:val="25"/>
          <w:szCs w:val="25"/>
        </w:rPr>
        <w:t>is</w:t>
      </w:r>
      <w:r w:rsidR="008D6E5C" w:rsidRPr="003C24C0">
        <w:rPr>
          <w:rFonts w:ascii="Garamond" w:hAnsi="Garamond"/>
          <w:sz w:val="25"/>
          <w:szCs w:val="25"/>
        </w:rPr>
        <w:t xml:space="preserve"> focused</w:t>
      </w:r>
      <w:r w:rsidR="00865846" w:rsidRPr="003C24C0">
        <w:rPr>
          <w:rFonts w:ascii="Garamond" w:hAnsi="Garamond"/>
          <w:sz w:val="25"/>
          <w:szCs w:val="25"/>
        </w:rPr>
        <w:t xml:space="preserve"> on the </w:t>
      </w:r>
      <w:r w:rsidR="008D6E5C" w:rsidRPr="003C24C0">
        <w:rPr>
          <w:rFonts w:ascii="Garamond" w:hAnsi="Garamond"/>
          <w:sz w:val="25"/>
          <w:szCs w:val="25"/>
        </w:rPr>
        <w:t xml:space="preserve">control-enhancing effects of such mechanisms, considering how mild the </w:t>
      </w:r>
      <w:r w:rsidR="00D67905" w:rsidRPr="003C24C0">
        <w:rPr>
          <w:rFonts w:ascii="Garamond" w:hAnsi="Garamond"/>
          <w:sz w:val="25"/>
          <w:szCs w:val="25"/>
        </w:rPr>
        <w:t xml:space="preserve">multiplier </w:t>
      </w:r>
      <w:r w:rsidR="008D6E5C" w:rsidRPr="003C24C0">
        <w:rPr>
          <w:rFonts w:ascii="Garamond" w:hAnsi="Garamond"/>
          <w:sz w:val="25"/>
          <w:szCs w:val="25"/>
        </w:rPr>
        <w:t xml:space="preserve">in the EU is, if compared to the US. Looking specifically to the Italian scenario, </w:t>
      </w:r>
      <w:r w:rsidR="00865846" w:rsidRPr="003C24C0">
        <w:rPr>
          <w:rFonts w:ascii="Garamond" w:hAnsi="Garamond"/>
          <w:sz w:val="25"/>
          <w:szCs w:val="25"/>
        </w:rPr>
        <w:t>dominated by family companies and controlling shareholder</w:t>
      </w:r>
      <w:r w:rsidR="008D6E5C" w:rsidRPr="003C24C0">
        <w:rPr>
          <w:rFonts w:ascii="Garamond" w:hAnsi="Garamond"/>
          <w:sz w:val="25"/>
          <w:szCs w:val="25"/>
        </w:rPr>
        <w:t>s, our empirical research aims to describe the framework of institutional investors’ behavior and market r</w:t>
      </w:r>
      <w:r w:rsidR="00D67905" w:rsidRPr="003C24C0">
        <w:rPr>
          <w:rFonts w:ascii="Garamond" w:hAnsi="Garamond"/>
          <w:sz w:val="25"/>
          <w:szCs w:val="25"/>
        </w:rPr>
        <w:t>eactions</w:t>
      </w:r>
      <w:r w:rsidR="00865846" w:rsidRPr="003C24C0">
        <w:rPr>
          <w:rFonts w:ascii="Garamond" w:hAnsi="Garamond"/>
          <w:sz w:val="25"/>
          <w:szCs w:val="25"/>
        </w:rPr>
        <w:t>. Italy is noteworthy</w:t>
      </w:r>
      <w:r w:rsidR="003C24C0" w:rsidRPr="003C24C0">
        <w:rPr>
          <w:rFonts w:ascii="Garamond" w:hAnsi="Garamond"/>
          <w:sz w:val="25"/>
          <w:szCs w:val="25"/>
        </w:rPr>
        <w:t>,</w:t>
      </w:r>
      <w:r w:rsidR="00865846" w:rsidRPr="003C24C0">
        <w:rPr>
          <w:rFonts w:ascii="Garamond" w:hAnsi="Garamond"/>
          <w:sz w:val="25"/>
          <w:szCs w:val="25"/>
        </w:rPr>
        <w:t xml:space="preserve"> </w:t>
      </w:r>
      <w:r w:rsidR="00D67905" w:rsidRPr="003C24C0">
        <w:rPr>
          <w:rFonts w:ascii="Garamond" w:hAnsi="Garamond"/>
          <w:sz w:val="25"/>
          <w:szCs w:val="25"/>
        </w:rPr>
        <w:t>as</w:t>
      </w:r>
      <w:r w:rsidR="00865846" w:rsidRPr="003C24C0">
        <w:rPr>
          <w:rFonts w:ascii="Garamond" w:hAnsi="Garamond"/>
          <w:sz w:val="25"/>
          <w:szCs w:val="25"/>
        </w:rPr>
        <w:t xml:space="preserve"> it is characterized by a number of companies that can be analysed in-depth in their facets, as well as by the non-negligible role of the founder, </w:t>
      </w:r>
      <w:r w:rsidR="00D67905" w:rsidRPr="003C24C0">
        <w:rPr>
          <w:rFonts w:ascii="Garamond" w:hAnsi="Garamond"/>
          <w:sz w:val="25"/>
          <w:szCs w:val="25"/>
        </w:rPr>
        <w:t>which</w:t>
      </w:r>
      <w:r w:rsidR="00865846" w:rsidRPr="003C24C0">
        <w:rPr>
          <w:rFonts w:ascii="Garamond" w:hAnsi="Garamond"/>
          <w:sz w:val="25"/>
          <w:szCs w:val="25"/>
        </w:rPr>
        <w:t xml:space="preserve"> will be explored. </w:t>
      </w:r>
      <w:r w:rsidR="008D6E5C" w:rsidRPr="003C24C0">
        <w:rPr>
          <w:rFonts w:ascii="Garamond" w:hAnsi="Garamond"/>
          <w:sz w:val="25"/>
          <w:szCs w:val="25"/>
        </w:rPr>
        <w:t xml:space="preserve">Therefore, </w:t>
      </w:r>
      <w:r w:rsidR="00D67905" w:rsidRPr="003C24C0">
        <w:rPr>
          <w:rFonts w:ascii="Garamond" w:hAnsi="Garamond"/>
          <w:sz w:val="25"/>
          <w:szCs w:val="25"/>
        </w:rPr>
        <w:t xml:space="preserve">as far as the methodological aspect of empirical analysis is concerned, </w:t>
      </w:r>
      <w:r w:rsidR="008D6E5C" w:rsidRPr="003C24C0">
        <w:rPr>
          <w:rFonts w:ascii="Garamond" w:hAnsi="Garamond"/>
          <w:sz w:val="25"/>
          <w:szCs w:val="25"/>
        </w:rPr>
        <w:t>our study includes all Italian listed companies belonging to the FTSE Index of the Italian</w:t>
      </w:r>
      <w:r w:rsidR="00D67905" w:rsidRPr="003C24C0">
        <w:rPr>
          <w:rFonts w:ascii="Garamond" w:hAnsi="Garamond"/>
          <w:sz w:val="25"/>
          <w:szCs w:val="25"/>
        </w:rPr>
        <w:t xml:space="preserve"> Stock Exchange</w:t>
      </w:r>
      <w:r w:rsidR="008D6E5C" w:rsidRPr="003C24C0">
        <w:rPr>
          <w:rFonts w:ascii="Garamond" w:hAnsi="Garamond"/>
          <w:sz w:val="25"/>
          <w:szCs w:val="25"/>
        </w:rPr>
        <w:t xml:space="preserve">, as </w:t>
      </w:r>
      <w:r w:rsidR="00D67905" w:rsidRPr="003C24C0">
        <w:rPr>
          <w:rFonts w:ascii="Garamond" w:hAnsi="Garamond"/>
          <w:sz w:val="25"/>
          <w:szCs w:val="25"/>
        </w:rPr>
        <w:t>of</w:t>
      </w:r>
      <w:r w:rsidR="008D6E5C" w:rsidRPr="003C24C0">
        <w:rPr>
          <w:rFonts w:ascii="Garamond" w:hAnsi="Garamond"/>
          <w:sz w:val="25"/>
          <w:szCs w:val="25"/>
        </w:rPr>
        <w:t xml:space="preserve"> 28 June 2018,</w:t>
      </w:r>
      <w:r w:rsidR="003C24C0" w:rsidRPr="003C24C0">
        <w:rPr>
          <w:rFonts w:ascii="Garamond" w:hAnsi="Garamond"/>
          <w:sz w:val="25"/>
          <w:szCs w:val="25"/>
        </w:rPr>
        <w:t xml:space="preserve"> covering </w:t>
      </w:r>
      <w:r w:rsidR="008D6E5C" w:rsidRPr="003C24C0">
        <w:rPr>
          <w:rFonts w:ascii="Garamond" w:hAnsi="Garamond"/>
          <w:sz w:val="25"/>
          <w:szCs w:val="25"/>
        </w:rPr>
        <w:t xml:space="preserve">approximately 95% of the entire </w:t>
      </w:r>
      <w:r w:rsidR="00E970EF" w:rsidRPr="003C24C0">
        <w:rPr>
          <w:rFonts w:ascii="Garamond" w:hAnsi="Garamond"/>
          <w:sz w:val="25"/>
          <w:szCs w:val="25"/>
        </w:rPr>
        <w:t xml:space="preserve">market </w:t>
      </w:r>
      <w:r w:rsidR="008D6E5C" w:rsidRPr="003C24C0">
        <w:rPr>
          <w:rFonts w:ascii="Garamond" w:hAnsi="Garamond"/>
          <w:sz w:val="25"/>
          <w:szCs w:val="25"/>
        </w:rPr>
        <w:t xml:space="preserve">capitalisation. </w:t>
      </w:r>
    </w:p>
    <w:p w14:paraId="460F5FD7" w14:textId="77777777" w:rsidR="00865846" w:rsidRPr="003C24C0" w:rsidRDefault="00865846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</w:p>
    <w:p w14:paraId="30FE3FC7" w14:textId="23CA1E1E" w:rsidR="0046464D" w:rsidRPr="003C24C0" w:rsidRDefault="008D6E5C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>In light of the above, we will address</w:t>
      </w:r>
      <w:r w:rsidR="0046464D" w:rsidRPr="003C24C0">
        <w:rPr>
          <w:rFonts w:ascii="Garamond" w:hAnsi="Garamond"/>
          <w:sz w:val="25"/>
          <w:szCs w:val="25"/>
        </w:rPr>
        <w:t xml:space="preserve"> some specific questions</w:t>
      </w:r>
      <w:r w:rsidR="00865846" w:rsidRPr="003C24C0">
        <w:rPr>
          <w:rFonts w:ascii="Garamond" w:hAnsi="Garamond"/>
          <w:sz w:val="25"/>
          <w:szCs w:val="25"/>
        </w:rPr>
        <w:t xml:space="preserve">. </w:t>
      </w:r>
    </w:p>
    <w:p w14:paraId="6902F7D7" w14:textId="48B7A94D" w:rsidR="00E91C59" w:rsidRPr="003C24C0" w:rsidRDefault="00865846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Our first concern is to identify </w:t>
      </w:r>
      <w:r w:rsidR="00D67905" w:rsidRPr="003C24C0">
        <w:rPr>
          <w:rFonts w:ascii="Garamond" w:hAnsi="Garamond"/>
          <w:sz w:val="25"/>
          <w:szCs w:val="25"/>
        </w:rPr>
        <w:t xml:space="preserve">the characteristics of the </w:t>
      </w:r>
      <w:r w:rsidR="00582AB5" w:rsidRPr="003C24C0">
        <w:rPr>
          <w:rFonts w:ascii="Garamond" w:hAnsi="Garamond"/>
          <w:sz w:val="25"/>
          <w:szCs w:val="25"/>
        </w:rPr>
        <w:t>companies</w:t>
      </w:r>
      <w:r w:rsidR="00D67905" w:rsidRPr="003C24C0">
        <w:rPr>
          <w:rFonts w:ascii="Garamond" w:hAnsi="Garamond"/>
          <w:sz w:val="25"/>
          <w:szCs w:val="25"/>
        </w:rPr>
        <w:t xml:space="preserve"> </w:t>
      </w:r>
      <w:r w:rsidR="00582AB5" w:rsidRPr="003C24C0">
        <w:rPr>
          <w:rFonts w:ascii="Garamond" w:hAnsi="Garamond"/>
          <w:sz w:val="25"/>
          <w:szCs w:val="25"/>
        </w:rPr>
        <w:t>w</w:t>
      </w:r>
      <w:r w:rsidRPr="003C24C0">
        <w:rPr>
          <w:rFonts w:ascii="Garamond" w:hAnsi="Garamond"/>
          <w:sz w:val="25"/>
          <w:szCs w:val="25"/>
        </w:rPr>
        <w:t xml:space="preserve">ith tenured voting </w:t>
      </w:r>
      <w:r w:rsidR="00D67905" w:rsidRPr="003C24C0">
        <w:rPr>
          <w:rFonts w:ascii="Garamond" w:hAnsi="Garamond"/>
          <w:sz w:val="25"/>
          <w:szCs w:val="25"/>
        </w:rPr>
        <w:t>and the reason behind the decision not to adopt it by other similar companies, particularly those of a family-oriented nature.</w:t>
      </w:r>
      <w:r w:rsidR="00E91C59" w:rsidRPr="003C24C0">
        <w:rPr>
          <w:rFonts w:ascii="Garamond" w:hAnsi="Garamond"/>
          <w:sz w:val="25"/>
          <w:szCs w:val="25"/>
        </w:rPr>
        <w:t xml:space="preserve"> Companies are classified</w:t>
      </w:r>
      <w:r w:rsidR="003C24C0" w:rsidRPr="003C24C0">
        <w:rPr>
          <w:rFonts w:ascii="Garamond" w:hAnsi="Garamond"/>
          <w:sz w:val="25"/>
          <w:szCs w:val="25"/>
        </w:rPr>
        <w:t>,</w:t>
      </w:r>
      <w:r w:rsidR="00E91C59" w:rsidRPr="003C24C0">
        <w:rPr>
          <w:rFonts w:ascii="Garamond" w:hAnsi="Garamond"/>
          <w:sz w:val="25"/>
          <w:szCs w:val="25"/>
        </w:rPr>
        <w:t xml:space="preserve"> according</w:t>
      </w:r>
      <w:r w:rsidR="00D67905" w:rsidRPr="003C24C0">
        <w:rPr>
          <w:rFonts w:ascii="Garamond" w:hAnsi="Garamond"/>
          <w:sz w:val="25"/>
          <w:szCs w:val="25"/>
        </w:rPr>
        <w:t xml:space="preserve"> to</w:t>
      </w:r>
      <w:r w:rsidR="00E91C59" w:rsidRPr="003C24C0">
        <w:rPr>
          <w:rFonts w:ascii="Garamond" w:hAnsi="Garamond"/>
          <w:sz w:val="25"/>
          <w:szCs w:val="25"/>
        </w:rPr>
        <w:t xml:space="preserve"> their main shareholders</w:t>
      </w:r>
      <w:r w:rsidR="00E970EF" w:rsidRPr="003C24C0">
        <w:rPr>
          <w:rFonts w:ascii="Garamond" w:hAnsi="Garamond"/>
          <w:sz w:val="25"/>
          <w:szCs w:val="25"/>
        </w:rPr>
        <w:t xml:space="preserve">, </w:t>
      </w:r>
      <w:r w:rsidR="00D67905" w:rsidRPr="003C24C0">
        <w:rPr>
          <w:rFonts w:ascii="Garamond" w:hAnsi="Garamond"/>
          <w:sz w:val="25"/>
          <w:szCs w:val="25"/>
        </w:rPr>
        <w:t>into</w:t>
      </w:r>
      <w:r w:rsidR="00E91C59" w:rsidRPr="003C24C0">
        <w:rPr>
          <w:rFonts w:ascii="Garamond" w:hAnsi="Garamond"/>
          <w:sz w:val="25"/>
          <w:szCs w:val="25"/>
        </w:rPr>
        <w:t xml:space="preserve"> seven main categories: Italian Public Administration, Italian Families, Italian Institutional Investors, Foreign Institutional Investors, Foreign Family, Italian </w:t>
      </w:r>
      <w:r w:rsidR="00D67905" w:rsidRPr="003C24C0">
        <w:rPr>
          <w:rFonts w:ascii="Garamond" w:hAnsi="Garamond"/>
          <w:sz w:val="25"/>
          <w:szCs w:val="25"/>
        </w:rPr>
        <w:t>or</w:t>
      </w:r>
      <w:r w:rsidR="00E91C59" w:rsidRPr="003C24C0">
        <w:rPr>
          <w:rFonts w:ascii="Garamond" w:hAnsi="Garamond"/>
          <w:sz w:val="25"/>
          <w:szCs w:val="25"/>
        </w:rPr>
        <w:t xml:space="preserve"> Foreign </w:t>
      </w:r>
      <w:r w:rsidR="00D67905" w:rsidRPr="003C24C0">
        <w:rPr>
          <w:rFonts w:ascii="Garamond" w:hAnsi="Garamond"/>
          <w:sz w:val="25"/>
          <w:szCs w:val="25"/>
        </w:rPr>
        <w:t>Companies</w:t>
      </w:r>
      <w:r w:rsidR="00E91C59" w:rsidRPr="003C24C0">
        <w:rPr>
          <w:rFonts w:ascii="Garamond" w:hAnsi="Garamond"/>
          <w:sz w:val="25"/>
          <w:szCs w:val="25"/>
        </w:rPr>
        <w:t>.</w:t>
      </w:r>
    </w:p>
    <w:p w14:paraId="5967D40B" w14:textId="46780D4C" w:rsidR="00E91C59" w:rsidRPr="003C24C0" w:rsidRDefault="00865846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lastRenderedPageBreak/>
        <w:t>Then, our intention is to consider the impact of institutional investors in the ownership structure. In Italy</w:t>
      </w:r>
      <w:r w:rsidR="003C24C0" w:rsidRPr="003C24C0">
        <w:rPr>
          <w:rFonts w:ascii="Garamond" w:hAnsi="Garamond"/>
          <w:sz w:val="25"/>
          <w:szCs w:val="25"/>
        </w:rPr>
        <w:t>, as in France, they</w:t>
      </w:r>
      <w:r w:rsidR="00BD507B" w:rsidRPr="003C24C0">
        <w:rPr>
          <w:rFonts w:ascii="Garamond" w:hAnsi="Garamond"/>
          <w:sz w:val="25"/>
          <w:szCs w:val="25"/>
        </w:rPr>
        <w:t xml:space="preserve"> </w:t>
      </w:r>
      <w:r w:rsidR="00D67905" w:rsidRPr="003C24C0">
        <w:rPr>
          <w:rFonts w:ascii="Garamond" w:hAnsi="Garamond"/>
          <w:sz w:val="25"/>
          <w:szCs w:val="25"/>
        </w:rPr>
        <w:t>opposed</w:t>
      </w:r>
      <w:r w:rsidR="00BD507B" w:rsidRPr="003C24C0">
        <w:rPr>
          <w:rFonts w:ascii="Garamond" w:hAnsi="Garamond"/>
          <w:sz w:val="25"/>
          <w:szCs w:val="25"/>
        </w:rPr>
        <w:t xml:space="preserve"> the introduction of </w:t>
      </w:r>
      <w:r w:rsidRPr="003C24C0">
        <w:rPr>
          <w:rFonts w:ascii="Garamond" w:hAnsi="Garamond"/>
          <w:sz w:val="25"/>
          <w:szCs w:val="25"/>
        </w:rPr>
        <w:t>the tenured voting</w:t>
      </w:r>
      <w:r w:rsidR="00BD507B" w:rsidRPr="003C24C0">
        <w:rPr>
          <w:rFonts w:ascii="Garamond" w:hAnsi="Garamond"/>
          <w:sz w:val="25"/>
          <w:szCs w:val="25"/>
        </w:rPr>
        <w:t>. Hence</w:t>
      </w:r>
      <w:r w:rsidRPr="003C24C0">
        <w:rPr>
          <w:rFonts w:ascii="Garamond" w:hAnsi="Garamond"/>
          <w:sz w:val="25"/>
          <w:szCs w:val="25"/>
        </w:rPr>
        <w:t>,</w:t>
      </w:r>
      <w:r w:rsidR="00BD507B" w:rsidRPr="003C24C0">
        <w:rPr>
          <w:rFonts w:ascii="Garamond" w:hAnsi="Garamond"/>
          <w:sz w:val="25"/>
          <w:szCs w:val="25"/>
        </w:rPr>
        <w:t xml:space="preserve"> </w:t>
      </w:r>
      <w:r w:rsidR="008D6E5C" w:rsidRPr="003C24C0">
        <w:rPr>
          <w:rFonts w:ascii="Garamond" w:hAnsi="Garamond"/>
          <w:sz w:val="25"/>
          <w:szCs w:val="25"/>
        </w:rPr>
        <w:t>we will</w:t>
      </w:r>
      <w:r w:rsidR="00BD507B" w:rsidRPr="003C24C0">
        <w:rPr>
          <w:rFonts w:ascii="Garamond" w:hAnsi="Garamond"/>
          <w:sz w:val="25"/>
          <w:szCs w:val="25"/>
        </w:rPr>
        <w:t xml:space="preserve"> </w:t>
      </w:r>
      <w:r w:rsidR="008D6E5C" w:rsidRPr="003C24C0">
        <w:rPr>
          <w:rFonts w:ascii="Garamond" w:hAnsi="Garamond"/>
          <w:sz w:val="25"/>
          <w:szCs w:val="25"/>
        </w:rPr>
        <w:t>evaluate</w:t>
      </w:r>
      <w:r w:rsidR="00BD507B" w:rsidRPr="003C24C0">
        <w:rPr>
          <w:rFonts w:ascii="Garamond" w:hAnsi="Garamond"/>
          <w:sz w:val="25"/>
          <w:szCs w:val="25"/>
        </w:rPr>
        <w:t xml:space="preserve"> </w:t>
      </w:r>
      <w:r w:rsidRPr="003C24C0">
        <w:rPr>
          <w:rFonts w:ascii="Garamond" w:hAnsi="Garamond"/>
          <w:sz w:val="25"/>
          <w:szCs w:val="25"/>
        </w:rPr>
        <w:t xml:space="preserve">their presence in the corporations adopting and </w:t>
      </w:r>
      <w:r w:rsidR="003C24C0" w:rsidRPr="003C24C0">
        <w:rPr>
          <w:rFonts w:ascii="Garamond" w:hAnsi="Garamond"/>
          <w:sz w:val="25"/>
          <w:szCs w:val="25"/>
        </w:rPr>
        <w:t>non-adopting</w:t>
      </w:r>
      <w:r w:rsidRPr="003C24C0">
        <w:rPr>
          <w:rFonts w:ascii="Garamond" w:hAnsi="Garamond"/>
          <w:sz w:val="25"/>
          <w:szCs w:val="25"/>
        </w:rPr>
        <w:t xml:space="preserve"> ten</w:t>
      </w:r>
      <w:r w:rsidR="003C24C0" w:rsidRPr="003C24C0">
        <w:rPr>
          <w:rFonts w:ascii="Garamond" w:hAnsi="Garamond"/>
          <w:sz w:val="25"/>
          <w:szCs w:val="25"/>
        </w:rPr>
        <w:t>ured voting, and its</w:t>
      </w:r>
      <w:r w:rsidRPr="003C24C0">
        <w:rPr>
          <w:rFonts w:ascii="Garamond" w:hAnsi="Garamond"/>
          <w:sz w:val="25"/>
          <w:szCs w:val="25"/>
        </w:rPr>
        <w:t xml:space="preserve"> </w:t>
      </w:r>
      <w:r w:rsidR="003C24C0" w:rsidRPr="003C24C0">
        <w:rPr>
          <w:rFonts w:ascii="Garamond" w:hAnsi="Garamond"/>
          <w:sz w:val="25"/>
          <w:szCs w:val="25"/>
        </w:rPr>
        <w:t>increase</w:t>
      </w:r>
      <w:r w:rsidRPr="003C24C0">
        <w:rPr>
          <w:rFonts w:ascii="Garamond" w:hAnsi="Garamond"/>
          <w:sz w:val="25"/>
          <w:szCs w:val="25"/>
        </w:rPr>
        <w:t xml:space="preserve"> or </w:t>
      </w:r>
      <w:r w:rsidR="003C24C0" w:rsidRPr="003C24C0">
        <w:rPr>
          <w:rFonts w:ascii="Garamond" w:hAnsi="Garamond"/>
          <w:sz w:val="25"/>
          <w:szCs w:val="25"/>
        </w:rPr>
        <w:t xml:space="preserve">decrease </w:t>
      </w:r>
      <w:r w:rsidR="00D67905" w:rsidRPr="003C24C0">
        <w:rPr>
          <w:rFonts w:ascii="Garamond" w:hAnsi="Garamond"/>
          <w:sz w:val="25"/>
          <w:szCs w:val="25"/>
        </w:rPr>
        <w:t>following</w:t>
      </w:r>
      <w:r w:rsidRPr="003C24C0">
        <w:rPr>
          <w:rFonts w:ascii="Garamond" w:hAnsi="Garamond"/>
          <w:sz w:val="25"/>
          <w:szCs w:val="25"/>
        </w:rPr>
        <w:t xml:space="preserve"> </w:t>
      </w:r>
      <w:r w:rsidR="003C24C0" w:rsidRPr="003C24C0">
        <w:rPr>
          <w:rFonts w:ascii="Garamond" w:hAnsi="Garamond"/>
          <w:sz w:val="25"/>
          <w:szCs w:val="25"/>
        </w:rPr>
        <w:t xml:space="preserve">such </w:t>
      </w:r>
      <w:r w:rsidRPr="003C24C0">
        <w:rPr>
          <w:rFonts w:ascii="Garamond" w:hAnsi="Garamond"/>
          <w:sz w:val="25"/>
          <w:szCs w:val="25"/>
        </w:rPr>
        <w:t xml:space="preserve">adoption, </w:t>
      </w:r>
      <w:r w:rsidR="00D67905" w:rsidRPr="003C24C0">
        <w:rPr>
          <w:rFonts w:ascii="Garamond" w:hAnsi="Garamond"/>
          <w:sz w:val="25"/>
          <w:szCs w:val="25"/>
        </w:rPr>
        <w:t xml:space="preserve">in particular </w:t>
      </w:r>
      <w:r w:rsidRPr="003C24C0">
        <w:rPr>
          <w:rFonts w:ascii="Garamond" w:hAnsi="Garamond"/>
          <w:i/>
          <w:sz w:val="25"/>
          <w:szCs w:val="25"/>
        </w:rPr>
        <w:t>(i)</w:t>
      </w:r>
      <w:r w:rsidRPr="003C24C0">
        <w:rPr>
          <w:rFonts w:ascii="Garamond" w:hAnsi="Garamond"/>
          <w:sz w:val="25"/>
          <w:szCs w:val="25"/>
        </w:rPr>
        <w:t xml:space="preserve"> </w:t>
      </w:r>
      <w:r w:rsidR="00D67905" w:rsidRPr="003C24C0">
        <w:rPr>
          <w:rFonts w:ascii="Garamond" w:hAnsi="Garamond"/>
          <w:sz w:val="25"/>
          <w:szCs w:val="25"/>
        </w:rPr>
        <w:t xml:space="preserve">after </w:t>
      </w:r>
      <w:r w:rsidRPr="003C24C0">
        <w:rPr>
          <w:rFonts w:ascii="Garamond" w:hAnsi="Garamond"/>
          <w:sz w:val="25"/>
          <w:szCs w:val="25"/>
        </w:rPr>
        <w:t xml:space="preserve">the proposal, </w:t>
      </w:r>
      <w:r w:rsidRPr="003C24C0">
        <w:rPr>
          <w:rFonts w:ascii="Garamond" w:hAnsi="Garamond"/>
          <w:i/>
          <w:sz w:val="25"/>
          <w:szCs w:val="25"/>
        </w:rPr>
        <w:t>(ii)</w:t>
      </w:r>
      <w:r w:rsidR="00D67905" w:rsidRPr="003C24C0">
        <w:rPr>
          <w:rFonts w:ascii="Garamond" w:hAnsi="Garamond"/>
          <w:sz w:val="25"/>
          <w:szCs w:val="25"/>
        </w:rPr>
        <w:t xml:space="preserve"> after the shareholders’</w:t>
      </w:r>
      <w:r w:rsidRPr="003C24C0">
        <w:rPr>
          <w:rFonts w:ascii="Garamond" w:hAnsi="Garamond"/>
          <w:sz w:val="25"/>
          <w:szCs w:val="25"/>
        </w:rPr>
        <w:t xml:space="preserve"> meeting and, finally, </w:t>
      </w:r>
      <w:r w:rsidRPr="003C24C0">
        <w:rPr>
          <w:rFonts w:ascii="Garamond" w:hAnsi="Garamond"/>
          <w:i/>
          <w:sz w:val="25"/>
          <w:szCs w:val="25"/>
        </w:rPr>
        <w:t>(iii)</w:t>
      </w:r>
      <w:r w:rsidRPr="003C24C0">
        <w:rPr>
          <w:rFonts w:ascii="Garamond" w:hAnsi="Garamond"/>
          <w:sz w:val="25"/>
          <w:szCs w:val="25"/>
        </w:rPr>
        <w:t xml:space="preserve"> at maturity</w:t>
      </w:r>
      <w:r w:rsidR="00E970EF" w:rsidRPr="003C24C0">
        <w:rPr>
          <w:rFonts w:ascii="Garamond" w:hAnsi="Garamond"/>
          <w:sz w:val="25"/>
          <w:szCs w:val="25"/>
        </w:rPr>
        <w:t xml:space="preserve"> of double voting</w:t>
      </w:r>
      <w:r w:rsidRPr="003C24C0">
        <w:rPr>
          <w:rFonts w:ascii="Garamond" w:hAnsi="Garamond"/>
          <w:sz w:val="25"/>
          <w:szCs w:val="25"/>
        </w:rPr>
        <w:t>.</w:t>
      </w:r>
      <w:r w:rsidR="00E91C59" w:rsidRPr="003C24C0">
        <w:rPr>
          <w:rFonts w:ascii="Garamond" w:hAnsi="Garamond"/>
          <w:sz w:val="25"/>
          <w:szCs w:val="25"/>
        </w:rPr>
        <w:t xml:space="preserve"> As far as data on the participation of institutional investors and the classification of shareholders into different categories (public administratio</w:t>
      </w:r>
      <w:r w:rsidR="00D67905" w:rsidRPr="003C24C0">
        <w:rPr>
          <w:rFonts w:ascii="Garamond" w:hAnsi="Garamond"/>
          <w:sz w:val="25"/>
          <w:szCs w:val="25"/>
        </w:rPr>
        <w:t>n, funds, enterprises, etc.)</w:t>
      </w:r>
      <w:r w:rsidR="00E91C59" w:rsidRPr="003C24C0">
        <w:rPr>
          <w:rFonts w:ascii="Garamond" w:hAnsi="Garamond"/>
          <w:sz w:val="25"/>
          <w:szCs w:val="25"/>
        </w:rPr>
        <w:t xml:space="preserve">, the Thomson Reuters Eikon database </w:t>
      </w:r>
      <w:r w:rsidR="00D67905" w:rsidRPr="003C24C0">
        <w:rPr>
          <w:rFonts w:ascii="Garamond" w:hAnsi="Garamond"/>
          <w:sz w:val="25"/>
          <w:szCs w:val="25"/>
        </w:rPr>
        <w:t>was</w:t>
      </w:r>
      <w:r w:rsidR="00E91C59" w:rsidRPr="003C24C0">
        <w:rPr>
          <w:rFonts w:ascii="Garamond" w:hAnsi="Garamond"/>
          <w:sz w:val="25"/>
          <w:szCs w:val="25"/>
        </w:rPr>
        <w:t xml:space="preserve"> used.</w:t>
      </w:r>
    </w:p>
    <w:p w14:paraId="4E3DA8B6" w14:textId="72877327" w:rsidR="00E91C59" w:rsidRPr="003C24C0" w:rsidRDefault="00582AB5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>Moreover</w:t>
      </w:r>
      <w:r w:rsidR="00865846" w:rsidRPr="003C24C0">
        <w:rPr>
          <w:rFonts w:ascii="Garamond" w:hAnsi="Garamond"/>
          <w:sz w:val="25"/>
          <w:szCs w:val="25"/>
        </w:rPr>
        <w:t xml:space="preserve">, </w:t>
      </w:r>
      <w:r w:rsidR="00BD507B" w:rsidRPr="003C24C0">
        <w:rPr>
          <w:rFonts w:ascii="Garamond" w:hAnsi="Garamond"/>
          <w:sz w:val="25"/>
          <w:szCs w:val="25"/>
        </w:rPr>
        <w:t xml:space="preserve">the relationship between these elements and the market, </w:t>
      </w:r>
      <w:r w:rsidR="00BD507B" w:rsidRPr="003C24C0">
        <w:rPr>
          <w:rFonts w:ascii="Garamond" w:hAnsi="Garamond"/>
          <w:i/>
          <w:sz w:val="25"/>
          <w:szCs w:val="25"/>
        </w:rPr>
        <w:t xml:space="preserve">i.e. </w:t>
      </w:r>
      <w:r w:rsidR="00BD507B" w:rsidRPr="003C24C0">
        <w:rPr>
          <w:rFonts w:ascii="Garamond" w:hAnsi="Garamond"/>
          <w:sz w:val="25"/>
          <w:szCs w:val="25"/>
        </w:rPr>
        <w:t>the value of the shares</w:t>
      </w:r>
      <w:r w:rsidRPr="003C24C0">
        <w:rPr>
          <w:rFonts w:ascii="Garamond" w:hAnsi="Garamond"/>
          <w:sz w:val="25"/>
          <w:szCs w:val="25"/>
        </w:rPr>
        <w:t xml:space="preserve"> (according to Thomson Reuters Datastream)</w:t>
      </w:r>
      <w:r w:rsidR="00865846" w:rsidRPr="003C24C0">
        <w:rPr>
          <w:rFonts w:ascii="Garamond" w:hAnsi="Garamond"/>
          <w:sz w:val="25"/>
          <w:szCs w:val="25"/>
        </w:rPr>
        <w:t xml:space="preserve">, </w:t>
      </w:r>
      <w:r w:rsidR="008D6E5C" w:rsidRPr="003C24C0">
        <w:rPr>
          <w:rFonts w:ascii="Garamond" w:hAnsi="Garamond"/>
          <w:sz w:val="25"/>
          <w:szCs w:val="25"/>
        </w:rPr>
        <w:t>will be</w:t>
      </w:r>
      <w:r w:rsidR="00865846" w:rsidRPr="003C24C0">
        <w:rPr>
          <w:rFonts w:ascii="Garamond" w:hAnsi="Garamond"/>
          <w:sz w:val="25"/>
          <w:szCs w:val="25"/>
        </w:rPr>
        <w:t xml:space="preserve"> </w:t>
      </w:r>
      <w:r w:rsidRPr="003C24C0">
        <w:rPr>
          <w:rFonts w:ascii="Garamond" w:hAnsi="Garamond"/>
          <w:sz w:val="25"/>
          <w:szCs w:val="25"/>
        </w:rPr>
        <w:t>addressed</w:t>
      </w:r>
      <w:r w:rsidR="00865846" w:rsidRPr="003C24C0">
        <w:rPr>
          <w:rFonts w:ascii="Garamond" w:hAnsi="Garamond"/>
          <w:sz w:val="25"/>
          <w:szCs w:val="25"/>
        </w:rPr>
        <w:t xml:space="preserve"> to understand if (and to what extent) the market discriminates against companies </w:t>
      </w:r>
      <w:r w:rsidRPr="003C24C0">
        <w:rPr>
          <w:rFonts w:ascii="Garamond" w:hAnsi="Garamond"/>
          <w:sz w:val="25"/>
          <w:szCs w:val="25"/>
        </w:rPr>
        <w:t xml:space="preserve">using </w:t>
      </w:r>
      <w:r w:rsidR="00865846" w:rsidRPr="003C24C0">
        <w:rPr>
          <w:rFonts w:ascii="Garamond" w:hAnsi="Garamond"/>
          <w:sz w:val="25"/>
          <w:szCs w:val="25"/>
        </w:rPr>
        <w:t>tenured voting.</w:t>
      </w:r>
      <w:r w:rsidR="00E91C59" w:rsidRPr="003C24C0">
        <w:rPr>
          <w:rFonts w:ascii="Garamond" w:hAnsi="Garamond"/>
          <w:sz w:val="25"/>
          <w:szCs w:val="25"/>
        </w:rPr>
        <w:t xml:space="preserve"> </w:t>
      </w:r>
    </w:p>
    <w:p w14:paraId="19B56503" w14:textId="605E2123" w:rsidR="008D6E5C" w:rsidRPr="003C24C0" w:rsidRDefault="00582AB5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Lastly, always looking at the rationale behind its adoption, we will examine whether those shareholders who earned </w:t>
      </w:r>
      <w:r w:rsidR="00E970EF" w:rsidRPr="003C24C0">
        <w:rPr>
          <w:rFonts w:ascii="Garamond" w:hAnsi="Garamond"/>
          <w:sz w:val="25"/>
          <w:szCs w:val="25"/>
        </w:rPr>
        <w:t xml:space="preserve">double voting </w:t>
      </w:r>
      <w:r w:rsidRPr="003C24C0">
        <w:rPr>
          <w:rFonts w:ascii="Garamond" w:hAnsi="Garamond"/>
          <w:sz w:val="25"/>
          <w:szCs w:val="25"/>
        </w:rPr>
        <w:t>actually exercised this power to approve extraordinary transactions.</w:t>
      </w:r>
    </w:p>
    <w:p w14:paraId="09C066F8" w14:textId="119089BD" w:rsidR="00671AC8" w:rsidRDefault="00671AC8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</w:p>
    <w:p w14:paraId="7100D027" w14:textId="473E66B9" w:rsidR="003C24C0" w:rsidRDefault="003C24C0" w:rsidP="003C24C0">
      <w:pPr>
        <w:spacing w:after="0" w:line="300" w:lineRule="atLeast"/>
        <w:jc w:val="both"/>
        <w:rPr>
          <w:rFonts w:ascii="Garamond" w:hAnsi="Garamond"/>
          <w:sz w:val="25"/>
          <w:szCs w:val="25"/>
        </w:rPr>
      </w:pPr>
    </w:p>
    <w:p w14:paraId="60FD0663" w14:textId="77777777" w:rsidR="00F718EF" w:rsidRPr="003C24C0" w:rsidRDefault="00F718EF" w:rsidP="003C24C0">
      <w:pPr>
        <w:spacing w:after="0" w:line="300" w:lineRule="atLeast"/>
        <w:jc w:val="both"/>
        <w:rPr>
          <w:rFonts w:ascii="Garamond" w:hAnsi="Garamond"/>
          <w:smallCaps/>
          <w:sz w:val="25"/>
          <w:szCs w:val="25"/>
          <w:u w:val="single"/>
        </w:rPr>
      </w:pPr>
      <w:r w:rsidRPr="003C24C0">
        <w:rPr>
          <w:rFonts w:ascii="Garamond" w:hAnsi="Garamond"/>
          <w:smallCaps/>
          <w:sz w:val="25"/>
          <w:szCs w:val="25"/>
          <w:u w:val="single"/>
        </w:rPr>
        <w:t>References</w:t>
      </w:r>
    </w:p>
    <w:p w14:paraId="65EADF00" w14:textId="77777777" w:rsidR="00BD507B" w:rsidRPr="003C24C0" w:rsidRDefault="00BD507B" w:rsidP="003C24C0">
      <w:pPr>
        <w:pStyle w:val="FootnoteText"/>
        <w:spacing w:before="120" w:line="300" w:lineRule="atLeast"/>
        <w:jc w:val="both"/>
        <w:rPr>
          <w:rFonts w:ascii="Garamond" w:hAnsi="Garamond"/>
          <w:i/>
          <w:sz w:val="25"/>
          <w:szCs w:val="25"/>
          <w:lang w:val="en-US"/>
        </w:rPr>
      </w:pPr>
      <w:r w:rsidRPr="003C24C0">
        <w:rPr>
          <w:rFonts w:ascii="Garamond" w:hAnsi="Garamond" w:cs="Arial"/>
          <w:smallCaps/>
          <w:sz w:val="25"/>
          <w:szCs w:val="25"/>
          <w:lang w:val="en-US"/>
        </w:rPr>
        <w:t>Anete Pajuste, Determinants and consequences of the unification of dual-class shares, European Central Bank / (Working paper series (European Central Bank) ; Working Paper no. 465),</w:t>
      </w:r>
      <w:r w:rsidRPr="003C24C0">
        <w:rPr>
          <w:rFonts w:ascii="Garamond" w:hAnsi="Garamond" w:cs="Arial"/>
          <w:sz w:val="25"/>
          <w:szCs w:val="25"/>
          <w:lang w:val="en-US"/>
        </w:rPr>
        <w:t xml:space="preserve"> </w:t>
      </w:r>
      <w:r w:rsidRPr="003C24C0">
        <w:rPr>
          <w:rFonts w:ascii="Garamond" w:hAnsi="Garamond" w:cs="Arial"/>
          <w:i/>
          <w:sz w:val="25"/>
          <w:szCs w:val="25"/>
          <w:lang w:val="en-US"/>
        </w:rPr>
        <w:t xml:space="preserve">available at </w:t>
      </w:r>
      <w:hyperlink r:id="rId8" w:history="1">
        <w:r w:rsidRPr="003C24C0">
          <w:rPr>
            <w:rStyle w:val="Hyperlink"/>
            <w:rFonts w:ascii="Garamond" w:hAnsi="Garamond" w:cs="Arial"/>
            <w:sz w:val="25"/>
            <w:szCs w:val="25"/>
            <w:lang w:val="en-US"/>
          </w:rPr>
          <w:t>https://www.ecb.europa.eu/pub/pdf/scpwps/ecbwp465.pdf?2a436e67ce16b853494adab3efb255d7</w:t>
        </w:r>
      </w:hyperlink>
      <w:r w:rsidRPr="003C24C0">
        <w:rPr>
          <w:rFonts w:ascii="Garamond" w:hAnsi="Garamond"/>
          <w:i/>
          <w:sz w:val="25"/>
          <w:szCs w:val="25"/>
          <w:lang w:val="en-US"/>
        </w:rPr>
        <w:t xml:space="preserve">. </w:t>
      </w:r>
    </w:p>
    <w:p w14:paraId="7E79F76F" w14:textId="77777777" w:rsidR="00BD507B" w:rsidRPr="003C24C0" w:rsidRDefault="00BD507B" w:rsidP="003C24C0">
      <w:pPr>
        <w:pStyle w:val="FootnoteText"/>
        <w:spacing w:before="120" w:line="300" w:lineRule="atLeast"/>
        <w:jc w:val="both"/>
        <w:rPr>
          <w:rFonts w:ascii="Garamond" w:hAnsi="Garamond"/>
          <w:sz w:val="25"/>
          <w:szCs w:val="25"/>
          <w:lang w:val="en-US"/>
        </w:rPr>
      </w:pPr>
      <w:r w:rsidRPr="003C24C0">
        <w:rPr>
          <w:rFonts w:ascii="Garamond" w:hAnsi="Garamond"/>
          <w:sz w:val="25"/>
          <w:szCs w:val="25"/>
          <w:lang w:val="en-US"/>
        </w:rPr>
        <w:t>Benjamin Maury &amp; Anete Pajuste, Private Benefits of Control and Dual</w:t>
      </w:r>
      <w:r w:rsidRPr="003C24C0">
        <w:rPr>
          <w:rFonts w:ascii="Cambria Math" w:hAnsi="Cambria Math" w:cs="Cambria Math"/>
          <w:sz w:val="25"/>
          <w:szCs w:val="25"/>
          <w:lang w:val="en-US"/>
        </w:rPr>
        <w:t>‐</w:t>
      </w:r>
      <w:r w:rsidRPr="003C24C0">
        <w:rPr>
          <w:rFonts w:ascii="Garamond" w:hAnsi="Garamond"/>
          <w:sz w:val="25"/>
          <w:szCs w:val="25"/>
          <w:lang w:val="en-US"/>
        </w:rPr>
        <w:t>Class Share Unifications</w:t>
      </w:r>
      <w:r w:rsidRPr="003C24C0">
        <w:rPr>
          <w:rFonts w:ascii="Garamond" w:hAnsi="Garamond" w:cs="Arial"/>
          <w:smallCaps/>
          <w:sz w:val="25"/>
          <w:szCs w:val="25"/>
          <w:lang w:val="en-US"/>
        </w:rPr>
        <w:t xml:space="preserve">, 32 </w:t>
      </w:r>
      <w:r w:rsidRPr="003C24C0">
        <w:rPr>
          <w:rFonts w:ascii="Garamond" w:hAnsi="Garamond"/>
          <w:smallCaps/>
          <w:sz w:val="25"/>
          <w:szCs w:val="25"/>
          <w:lang w:val="en-US"/>
        </w:rPr>
        <w:t>Managerial &amp; Decision Econ. 355 (</w:t>
      </w:r>
      <w:r w:rsidRPr="003C24C0">
        <w:rPr>
          <w:rFonts w:ascii="Garamond" w:hAnsi="Garamond"/>
          <w:sz w:val="25"/>
          <w:szCs w:val="25"/>
          <w:lang w:val="en-US"/>
        </w:rPr>
        <w:t>2011).</w:t>
      </w:r>
    </w:p>
    <w:p w14:paraId="281667DE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RobotoSlab-Regular"/>
          <w:i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t>David J. Berger, Steven Davidoff Solomon &amp; Aaron J. Benjamin,</w:t>
      </w:r>
      <w:r w:rsidRPr="003C24C0">
        <w:rPr>
          <w:rFonts w:ascii="Garamond" w:hAnsi="Garamond" w:cs="RobotoSlab-Regular"/>
          <w:i/>
          <w:sz w:val="25"/>
          <w:szCs w:val="25"/>
        </w:rPr>
        <w:t xml:space="preserve"> Tenure Voting and the U.S. Public Company,</w:t>
      </w:r>
      <w:r w:rsidRPr="003C24C0">
        <w:rPr>
          <w:rFonts w:ascii="Garamond" w:hAnsi="Garamond" w:cs=""/>
          <w:sz w:val="25"/>
          <w:szCs w:val="25"/>
        </w:rPr>
        <w:t xml:space="preserve"> </w:t>
      </w:r>
      <w:r w:rsidRPr="003C24C0">
        <w:rPr>
          <w:rFonts w:ascii="Garamond" w:hAnsi="Garamond" w:cs=""/>
          <w:smallCaps/>
          <w:sz w:val="25"/>
          <w:szCs w:val="25"/>
        </w:rPr>
        <w:t>72 Business Lawyer 295 (2017)</w:t>
      </w:r>
    </w:p>
    <w:p w14:paraId="7E9B83F0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mallCaps/>
          <w:sz w:val="25"/>
          <w:szCs w:val="25"/>
        </w:rPr>
        <w:t>Eric Ries, The Lean Startup: How Today's Entrepreneurs Use Continuous Innovation to Create Radically Successful Businesses, Crown Publishing Group (2011</w:t>
      </w:r>
      <w:r w:rsidRPr="003C24C0">
        <w:rPr>
          <w:rFonts w:ascii="Garamond" w:hAnsi="Garamond"/>
          <w:sz w:val="25"/>
          <w:szCs w:val="25"/>
        </w:rPr>
        <w:t>).</w:t>
      </w:r>
    </w:p>
    <w:p w14:paraId="2F219BA7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Harry De Angelo &amp; Linda De Angelo, </w:t>
      </w:r>
      <w:r w:rsidRPr="003C24C0">
        <w:rPr>
          <w:rFonts w:ascii="Garamond" w:hAnsi="Garamond"/>
          <w:i/>
          <w:sz w:val="25"/>
          <w:szCs w:val="25"/>
        </w:rPr>
        <w:t>Managerial ownership of voting rights: A study of public corporations with dual classes of common stock</w:t>
      </w:r>
      <w:r w:rsidRPr="003C24C0">
        <w:rPr>
          <w:rFonts w:ascii="Garamond" w:hAnsi="Garamond"/>
          <w:sz w:val="25"/>
          <w:szCs w:val="25"/>
        </w:rPr>
        <w:t xml:space="preserve">, 14 J. </w:t>
      </w:r>
      <w:r w:rsidRPr="003C24C0">
        <w:rPr>
          <w:rFonts w:ascii="Garamond" w:hAnsi="Garamond"/>
          <w:smallCaps/>
          <w:sz w:val="25"/>
          <w:szCs w:val="25"/>
        </w:rPr>
        <w:t>Fin. Econ</w:t>
      </w:r>
      <w:r w:rsidRPr="003C24C0">
        <w:rPr>
          <w:rFonts w:ascii="Garamond" w:hAnsi="Garamond"/>
          <w:sz w:val="25"/>
          <w:szCs w:val="25"/>
        </w:rPr>
        <w:t xml:space="preserve">. 33 (1985), </w:t>
      </w:r>
      <w:r w:rsidRPr="003C24C0">
        <w:rPr>
          <w:rFonts w:ascii="Garamond" w:hAnsi="Garamond"/>
          <w:i/>
          <w:sz w:val="25"/>
          <w:szCs w:val="25"/>
        </w:rPr>
        <w:t>available at</w:t>
      </w:r>
      <w:r w:rsidRPr="003C24C0">
        <w:rPr>
          <w:rFonts w:ascii="Garamond" w:hAnsi="Garamond"/>
          <w:sz w:val="25"/>
          <w:szCs w:val="25"/>
        </w:rPr>
        <w:t xml:space="preserve"> http://schwert.ssb.rochester.edu/f423/JFE85_DD.pdf.</w:t>
      </w:r>
    </w:p>
    <w:p w14:paraId="375D2D1C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z w:val="25"/>
          <w:szCs w:val="25"/>
        </w:rPr>
        <w:t xml:space="preserve">IRRC &amp; ISS, </w:t>
      </w:r>
      <w:r w:rsidRPr="003C24C0">
        <w:rPr>
          <w:rFonts w:ascii="Garamond" w:hAnsi="Garamond"/>
          <w:smallCaps/>
          <w:sz w:val="25"/>
          <w:szCs w:val="25"/>
        </w:rPr>
        <w:t>Controlled Companies in the Standard&amp;Poor’s 1500: A"Ten"Year"Performance"and"Risk"Review</w:t>
      </w:r>
      <w:r w:rsidRPr="003C24C0">
        <w:rPr>
          <w:rFonts w:ascii="Garamond" w:hAnsi="Garamond"/>
          <w:sz w:val="25"/>
          <w:szCs w:val="25"/>
        </w:rPr>
        <w:t xml:space="preserve"> (2012), </w:t>
      </w:r>
      <w:r w:rsidRPr="003C24C0">
        <w:rPr>
          <w:rFonts w:ascii="Garamond" w:hAnsi="Garamond"/>
          <w:i/>
          <w:sz w:val="25"/>
          <w:szCs w:val="25"/>
        </w:rPr>
        <w:t xml:space="preserve">available at </w:t>
      </w:r>
      <w:hyperlink r:id="rId9" w:history="1">
        <w:r w:rsidRPr="003C24C0">
          <w:rPr>
            <w:rStyle w:val="Hyperlink"/>
            <w:rFonts w:ascii="Garamond" w:hAnsi="Garamond"/>
            <w:sz w:val="25"/>
            <w:szCs w:val="25"/>
          </w:rPr>
          <w:t>https://irrcinstitute.org/wp-content/uploads/2015/09/FINAL-Controlled-Company-ISS-Report1.pdf</w:t>
        </w:r>
      </w:hyperlink>
    </w:p>
    <w:p w14:paraId="0C98640A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t xml:space="preserve">Jeffrey N. Gordon, </w:t>
      </w:r>
      <w:r w:rsidRPr="003C24C0">
        <w:rPr>
          <w:rFonts w:ascii="Garamond" w:hAnsi="Garamond" w:cs=""/>
          <w:i/>
          <w:sz w:val="25"/>
          <w:szCs w:val="25"/>
        </w:rPr>
        <w:t>Dual Class Common Stock: An Issue of Public and Private Law</w:t>
      </w:r>
      <w:r w:rsidRPr="003C24C0">
        <w:rPr>
          <w:rFonts w:ascii="Garamond" w:hAnsi="Garamond" w:cs=""/>
          <w:sz w:val="25"/>
          <w:szCs w:val="25"/>
        </w:rPr>
        <w:t xml:space="preserve">, CLS Blue Sky Blog (January 2, 2019), </w:t>
      </w:r>
      <w:r w:rsidRPr="003C24C0">
        <w:rPr>
          <w:rFonts w:ascii="Garamond" w:hAnsi="Garamond" w:cs=""/>
          <w:i/>
          <w:sz w:val="25"/>
          <w:szCs w:val="25"/>
        </w:rPr>
        <w:t>available at</w:t>
      </w:r>
      <w:r w:rsidRPr="003C24C0">
        <w:rPr>
          <w:rFonts w:ascii="Garamond" w:hAnsi="Garamond" w:cs=""/>
          <w:sz w:val="25"/>
          <w:szCs w:val="25"/>
        </w:rPr>
        <w:t xml:space="preserve"> http://clsbluesky.law.columbia.edu/2019/01/02/dual-class-common-stock-an-issue-of-public-and-private-law/.</w:t>
      </w:r>
    </w:p>
    <w:p w14:paraId="4D429771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lastRenderedPageBreak/>
        <w:t xml:space="preserve">John C. Coffee, Jr., </w:t>
      </w:r>
      <w:r w:rsidRPr="003C24C0">
        <w:rPr>
          <w:rFonts w:ascii="Garamond" w:hAnsi="Garamond" w:cs=""/>
          <w:i/>
          <w:sz w:val="25"/>
          <w:szCs w:val="25"/>
        </w:rPr>
        <w:t>A Brief Response</w:t>
      </w:r>
      <w:r w:rsidRPr="003C24C0">
        <w:rPr>
          <w:rFonts w:ascii="Garamond" w:hAnsi="Garamond" w:cs=""/>
          <w:sz w:val="25"/>
          <w:szCs w:val="25"/>
        </w:rPr>
        <w:t xml:space="preserve">, CLS Blue Sky Blog (January 2, 2019), </w:t>
      </w:r>
      <w:r w:rsidRPr="003C24C0">
        <w:rPr>
          <w:rFonts w:ascii="Garamond" w:hAnsi="Garamond" w:cs=""/>
          <w:i/>
          <w:sz w:val="25"/>
          <w:szCs w:val="25"/>
        </w:rPr>
        <w:t xml:space="preserve">available at </w:t>
      </w:r>
      <w:r w:rsidRPr="003C24C0">
        <w:rPr>
          <w:rFonts w:ascii="Garamond" w:hAnsi="Garamond" w:cs=""/>
          <w:sz w:val="25"/>
          <w:szCs w:val="25"/>
        </w:rPr>
        <w:t>http://clsbluesky.law.columbia.edu/2019/01/02/a-brief-response/.</w:t>
      </w:r>
    </w:p>
    <w:p w14:paraId="0EB8B2A7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t xml:space="preserve">John C. Coffee, Jr., </w:t>
      </w:r>
      <w:r w:rsidRPr="003C24C0">
        <w:rPr>
          <w:rFonts w:ascii="Garamond" w:hAnsi="Garamond" w:cs=""/>
          <w:i/>
          <w:sz w:val="25"/>
          <w:szCs w:val="25"/>
        </w:rPr>
        <w:t>Dual Class Stock: What Is a Fair Compromise?</w:t>
      </w:r>
      <w:r w:rsidRPr="003C24C0">
        <w:rPr>
          <w:rFonts w:ascii="Garamond" w:hAnsi="Garamond" w:cs=""/>
          <w:sz w:val="25"/>
          <w:szCs w:val="25"/>
        </w:rPr>
        <w:t xml:space="preserve">, CLS Blue Sky Blog (January 2, 2019), </w:t>
      </w:r>
      <w:r w:rsidRPr="003C24C0">
        <w:rPr>
          <w:rFonts w:ascii="Garamond" w:hAnsi="Garamond" w:cs=""/>
          <w:i/>
          <w:sz w:val="25"/>
          <w:szCs w:val="25"/>
        </w:rPr>
        <w:t xml:space="preserve">available at </w:t>
      </w:r>
      <w:r w:rsidRPr="003C24C0">
        <w:rPr>
          <w:rFonts w:ascii="Garamond" w:hAnsi="Garamond" w:cs=""/>
          <w:sz w:val="25"/>
          <w:szCs w:val="25"/>
        </w:rPr>
        <w:t>http://clsbluesky.law.columbia.edu/2018/12/17/dual-class-stock-what-is-a-fair-compromise/.</w:t>
      </w:r>
    </w:p>
    <w:p w14:paraId="5EAA7A05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t xml:space="preserve">Joshua Mitts, </w:t>
      </w:r>
      <w:r w:rsidRPr="003C24C0">
        <w:rPr>
          <w:rFonts w:ascii="Garamond" w:hAnsi="Garamond" w:cs=""/>
          <w:i/>
          <w:sz w:val="25"/>
          <w:szCs w:val="25"/>
        </w:rPr>
        <w:t>Why Investors Pay So Much for Dual Class Firms</w:t>
      </w:r>
      <w:r w:rsidRPr="003C24C0">
        <w:rPr>
          <w:rFonts w:ascii="Garamond" w:hAnsi="Garamond" w:cs=""/>
          <w:sz w:val="25"/>
          <w:szCs w:val="25"/>
        </w:rPr>
        <w:t xml:space="preserve">, CLS Blue Sky Blog (January 2, 2019), </w:t>
      </w:r>
      <w:r w:rsidRPr="003C24C0">
        <w:rPr>
          <w:rFonts w:ascii="Garamond" w:hAnsi="Garamond" w:cs=""/>
          <w:i/>
          <w:sz w:val="25"/>
          <w:szCs w:val="25"/>
        </w:rPr>
        <w:t xml:space="preserve">available at </w:t>
      </w:r>
      <w:r w:rsidRPr="003C24C0">
        <w:rPr>
          <w:rFonts w:ascii="Garamond" w:hAnsi="Garamond" w:cs=""/>
          <w:sz w:val="25"/>
          <w:szCs w:val="25"/>
        </w:rPr>
        <w:t>http://clsbluesky.law.columbia.edu/2019/01/02/why-investors-pay-so-much-for-dual-class-firms/.</w:t>
      </w:r>
    </w:p>
    <w:p w14:paraId="4D180B5A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eastAsia="TimesNewRoman" w:hAnsi="Garamond" w:cs="TimesNewRoman"/>
          <w:color w:val="000000"/>
          <w:sz w:val="25"/>
          <w:szCs w:val="25"/>
        </w:rPr>
        <w:t xml:space="preserve">Lucian A. Bebchuk &amp; Kobi Kastiel, </w:t>
      </w:r>
      <w:r w:rsidRPr="003C24C0">
        <w:rPr>
          <w:rFonts w:ascii="Garamond" w:hAnsi="Garamond"/>
          <w:i/>
          <w:iCs/>
          <w:sz w:val="25"/>
          <w:szCs w:val="25"/>
        </w:rPr>
        <w:t xml:space="preserve">The Perils of Small-Minority Controllers, </w:t>
      </w:r>
      <w:r w:rsidRPr="003C24C0">
        <w:rPr>
          <w:rFonts w:ascii="Garamond" w:hAnsi="Garamond"/>
          <w:smallCaps/>
          <w:sz w:val="25"/>
          <w:szCs w:val="25"/>
        </w:rPr>
        <w:t>Geo</w:t>
      </w:r>
      <w:r w:rsidRPr="003C24C0">
        <w:rPr>
          <w:rFonts w:ascii="Garamond" w:hAnsi="Garamond"/>
          <w:sz w:val="25"/>
          <w:szCs w:val="25"/>
        </w:rPr>
        <w:t xml:space="preserve">. L. J. (2019, </w:t>
      </w:r>
      <w:r w:rsidRPr="003C24C0">
        <w:rPr>
          <w:rFonts w:ascii="Garamond" w:hAnsi="Garamond"/>
          <w:i/>
          <w:iCs/>
          <w:sz w:val="25"/>
          <w:szCs w:val="25"/>
        </w:rPr>
        <w:t>forthcoming</w:t>
      </w:r>
      <w:r w:rsidRPr="003C24C0">
        <w:rPr>
          <w:rFonts w:ascii="Garamond" w:hAnsi="Garamond"/>
          <w:sz w:val="25"/>
          <w:szCs w:val="25"/>
        </w:rPr>
        <w:t xml:space="preserve">), </w:t>
      </w:r>
      <w:r w:rsidRPr="003C24C0">
        <w:rPr>
          <w:rFonts w:ascii="Garamond" w:hAnsi="Garamond"/>
          <w:i/>
          <w:sz w:val="25"/>
          <w:szCs w:val="25"/>
        </w:rPr>
        <w:t>available at</w:t>
      </w:r>
      <w:r w:rsidRPr="003C24C0">
        <w:rPr>
          <w:rFonts w:ascii="Garamond" w:hAnsi="Garamond"/>
          <w:sz w:val="25"/>
          <w:szCs w:val="25"/>
        </w:rPr>
        <w:t xml:space="preserve"> </w:t>
      </w:r>
      <w:hyperlink r:id="rId10" w:history="1">
        <w:r w:rsidRPr="003C24C0">
          <w:rPr>
            <w:rStyle w:val="Hyperlink"/>
            <w:rFonts w:ascii="Garamond" w:hAnsi="Garamond"/>
            <w:sz w:val="25"/>
            <w:szCs w:val="25"/>
          </w:rPr>
          <w:t>https://papers.ssrn.com/sol3/papers.cfm?abstract_id=3128375</w:t>
        </w:r>
      </w:hyperlink>
      <w:r w:rsidRPr="003C24C0">
        <w:rPr>
          <w:rFonts w:ascii="Garamond" w:hAnsi="Garamond"/>
          <w:sz w:val="25"/>
          <w:szCs w:val="25"/>
        </w:rPr>
        <w:t>.</w:t>
      </w:r>
    </w:p>
    <w:p w14:paraId="2E784700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eastAsia="TimesNewRoman" w:hAnsi="Garamond" w:cs="TimesNewRoman"/>
          <w:i/>
          <w:color w:val="000000"/>
          <w:sz w:val="25"/>
          <w:szCs w:val="25"/>
        </w:rPr>
      </w:pPr>
      <w:r w:rsidRPr="003C24C0">
        <w:rPr>
          <w:rFonts w:ascii="Garamond" w:eastAsia="TimesNewRoman" w:hAnsi="Garamond" w:cs="TimesNewRoman"/>
          <w:color w:val="000000"/>
          <w:sz w:val="25"/>
          <w:szCs w:val="25"/>
        </w:rPr>
        <w:t xml:space="preserve">Lucian A. Bebchuk &amp; Kobi Kastiel, </w:t>
      </w:r>
      <w:r w:rsidRPr="003C24C0">
        <w:rPr>
          <w:rFonts w:ascii="Garamond" w:eastAsia="TimesNewRoman" w:hAnsi="Garamond" w:cs="TimesNewRoman"/>
          <w:i/>
          <w:color w:val="000000"/>
          <w:sz w:val="25"/>
          <w:szCs w:val="25"/>
        </w:rPr>
        <w:t>The Untenable Case For Perpetual Dual-Class Stock</w:t>
      </w:r>
      <w:r w:rsidRPr="003C24C0">
        <w:rPr>
          <w:rFonts w:ascii="Garamond" w:eastAsia="TimesNewRoman" w:hAnsi="Garamond" w:cs="TimesNewRoman"/>
          <w:color w:val="000000"/>
          <w:sz w:val="25"/>
          <w:szCs w:val="25"/>
        </w:rPr>
        <w:t xml:space="preserve">. </w:t>
      </w:r>
      <w:r w:rsidRPr="003C24C0">
        <w:rPr>
          <w:rFonts w:ascii="Garamond" w:eastAsia="TimesNewRoman" w:hAnsi="Garamond" w:cs="TimesNewRoman"/>
          <w:i/>
          <w:color w:val="000000"/>
          <w:sz w:val="25"/>
          <w:szCs w:val="25"/>
        </w:rPr>
        <w:t xml:space="preserve">Discussion Paper No. 905, </w:t>
      </w:r>
      <w:r w:rsidRPr="003C24C0">
        <w:rPr>
          <w:rFonts w:ascii="Garamond" w:eastAsia="TimesNewRoman" w:hAnsi="Garamond" w:cs="TimesNewRoman"/>
          <w:color w:val="000000"/>
          <w:sz w:val="25"/>
          <w:szCs w:val="25"/>
        </w:rPr>
        <w:t xml:space="preserve">103 </w:t>
      </w:r>
      <w:r w:rsidRPr="003C24C0">
        <w:rPr>
          <w:rFonts w:ascii="Garamond" w:eastAsia="TimesNewRoman" w:hAnsi="Garamond" w:cs="Times New Roman"/>
          <w:iCs/>
          <w:smallCaps/>
          <w:color w:val="000000"/>
          <w:sz w:val="25"/>
          <w:szCs w:val="25"/>
        </w:rPr>
        <w:t>Va. L. Rev.</w:t>
      </w:r>
      <w:r w:rsidRPr="003C24C0">
        <w:rPr>
          <w:rFonts w:ascii="Garamond" w:eastAsia="TimesNewRoman" w:hAnsi="Garamond" w:cs="Times New Roman"/>
          <w:color w:val="000000"/>
          <w:sz w:val="25"/>
          <w:szCs w:val="25"/>
        </w:rPr>
        <w:t xml:space="preserve"> 585 (2017).</w:t>
      </w:r>
    </w:p>
    <w:p w14:paraId="57489388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mallCaps/>
          <w:sz w:val="25"/>
          <w:szCs w:val="25"/>
        </w:rPr>
      </w:pPr>
      <w:r w:rsidRPr="003C24C0">
        <w:rPr>
          <w:rFonts w:ascii="Garamond" w:hAnsi="Garamond"/>
          <w:smallCaps/>
          <w:sz w:val="25"/>
          <w:szCs w:val="25"/>
        </w:rPr>
        <w:t>Matt Levine, The Long-Term Stock Exchane Is Worth a Shot, Bloomberg (October 16, 2017).</w:t>
      </w:r>
    </w:p>
    <w:p w14:paraId="16509BA8" w14:textId="77777777" w:rsidR="00BD507B" w:rsidRPr="003C24C0" w:rsidRDefault="00BD507B" w:rsidP="003C24C0">
      <w:pPr>
        <w:pStyle w:val="FootnoteText"/>
        <w:spacing w:before="120" w:line="300" w:lineRule="atLeast"/>
        <w:jc w:val="both"/>
        <w:rPr>
          <w:rFonts w:ascii="Garamond" w:hAnsi="Garamond"/>
          <w:smallCaps/>
          <w:sz w:val="25"/>
          <w:szCs w:val="25"/>
          <w:lang w:val="en-US"/>
        </w:rPr>
      </w:pPr>
      <w:r w:rsidRPr="003C24C0">
        <w:rPr>
          <w:rFonts w:ascii="Garamond" w:hAnsi="Garamond"/>
          <w:sz w:val="25"/>
          <w:szCs w:val="25"/>
          <w:lang w:val="en-US"/>
        </w:rPr>
        <w:t xml:space="preserve">Mike Burkart &amp; Samuel Lee, </w:t>
      </w:r>
      <w:r w:rsidRPr="003C24C0">
        <w:rPr>
          <w:rFonts w:ascii="Garamond" w:hAnsi="Garamond"/>
          <w:i/>
          <w:sz w:val="25"/>
          <w:szCs w:val="25"/>
          <w:lang w:val="en-US"/>
        </w:rPr>
        <w:t>One Share-One Vote: the Theory</w:t>
      </w:r>
      <w:r w:rsidRPr="003C24C0">
        <w:rPr>
          <w:rFonts w:ascii="Garamond" w:hAnsi="Garamond"/>
          <w:sz w:val="25"/>
          <w:szCs w:val="25"/>
          <w:lang w:val="en-US"/>
        </w:rPr>
        <w:t xml:space="preserve">, </w:t>
      </w:r>
      <w:r w:rsidRPr="003C24C0">
        <w:rPr>
          <w:rFonts w:ascii="Garamond" w:hAnsi="Garamond"/>
          <w:smallCaps/>
          <w:sz w:val="25"/>
          <w:szCs w:val="25"/>
          <w:lang w:val="en-US"/>
        </w:rPr>
        <w:t>12 Rev. Fin. 1 (2008).</w:t>
      </w:r>
    </w:p>
    <w:p w14:paraId="2D7027F1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mallCaps/>
          <w:sz w:val="25"/>
          <w:szCs w:val="25"/>
        </w:rPr>
        <w:t xml:space="preserve">Nicole Bullock, IEX-LTSE </w:t>
      </w:r>
      <w:r w:rsidR="00C01FBB" w:rsidRPr="003C24C0">
        <w:rPr>
          <w:rFonts w:ascii="Garamond" w:hAnsi="Garamond"/>
          <w:smallCaps/>
          <w:sz w:val="25"/>
          <w:szCs w:val="25"/>
        </w:rPr>
        <w:t xml:space="preserve">Listings Partnership In Doubt </w:t>
      </w:r>
      <w:r w:rsidRPr="003C24C0">
        <w:rPr>
          <w:rFonts w:ascii="Garamond" w:hAnsi="Garamond"/>
          <w:smallCaps/>
          <w:sz w:val="25"/>
          <w:szCs w:val="25"/>
        </w:rPr>
        <w:t>(August 17, 2018)</w:t>
      </w:r>
      <w:r w:rsidRPr="003C24C0">
        <w:rPr>
          <w:rFonts w:ascii="Garamond" w:hAnsi="Garamond"/>
          <w:sz w:val="25"/>
          <w:szCs w:val="25"/>
        </w:rPr>
        <w:t xml:space="preserve">, </w:t>
      </w:r>
      <w:r w:rsidRPr="003C24C0">
        <w:rPr>
          <w:rFonts w:ascii="Garamond" w:hAnsi="Garamond"/>
          <w:i/>
          <w:sz w:val="25"/>
          <w:szCs w:val="25"/>
        </w:rPr>
        <w:t xml:space="preserve">available at </w:t>
      </w:r>
      <w:hyperlink r:id="rId11" w:history="1">
        <w:r w:rsidRPr="003C24C0">
          <w:rPr>
            <w:rStyle w:val="Hyperlink"/>
            <w:rFonts w:ascii="Garamond" w:hAnsi="Garamond"/>
            <w:sz w:val="25"/>
            <w:szCs w:val="25"/>
          </w:rPr>
          <w:t>https://www.ft.com/content/d1be68f4-a19f-11e8-85da-eeb7a9ce36e4</w:t>
        </w:r>
      </w:hyperlink>
      <w:r w:rsidRPr="003C24C0">
        <w:rPr>
          <w:rFonts w:ascii="Garamond" w:hAnsi="Garamond"/>
          <w:sz w:val="25"/>
          <w:szCs w:val="25"/>
        </w:rPr>
        <w:t>.</w:t>
      </w:r>
    </w:p>
    <w:p w14:paraId="42B90CF6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hAnsi="Garamond"/>
          <w:smallCaps/>
          <w:sz w:val="25"/>
          <w:szCs w:val="25"/>
        </w:rPr>
        <w:t>Principles for Responsible Investment. Long-term investors</w:t>
      </w:r>
      <w:r w:rsidRPr="003C24C0">
        <w:rPr>
          <w:rFonts w:ascii="Garamond" w:hAnsi="Garamond"/>
          <w:sz w:val="25"/>
          <w:szCs w:val="25"/>
        </w:rPr>
        <w:t>, (</w:t>
      </w:r>
      <w:r w:rsidRPr="003C24C0">
        <w:rPr>
          <w:rFonts w:ascii="Garamond" w:hAnsi="Garamond"/>
          <w:smallCaps/>
          <w:sz w:val="25"/>
          <w:szCs w:val="25"/>
        </w:rPr>
        <w:t>August</w:t>
      </w:r>
      <w:r w:rsidRPr="003C24C0">
        <w:rPr>
          <w:rFonts w:ascii="Garamond" w:hAnsi="Garamond"/>
          <w:sz w:val="25"/>
          <w:szCs w:val="25"/>
        </w:rPr>
        <w:t xml:space="preserve"> 31, 2018), available at </w:t>
      </w:r>
      <w:hyperlink r:id="rId12" w:history="1">
        <w:r w:rsidRPr="003C24C0">
          <w:rPr>
            <w:rStyle w:val="Hyperlink"/>
            <w:rFonts w:ascii="Garamond" w:hAnsi="Garamond"/>
            <w:sz w:val="25"/>
            <w:szCs w:val="25"/>
          </w:rPr>
          <w:t>https://www.unpri.org/sustainable-financial-system/focusing-on-long-term-investors-in-stock-exchange-innovation-/3595.article</w:t>
        </w:r>
      </w:hyperlink>
      <w:r w:rsidRPr="003C24C0">
        <w:rPr>
          <w:rFonts w:ascii="Garamond" w:hAnsi="Garamond"/>
          <w:sz w:val="25"/>
          <w:szCs w:val="25"/>
        </w:rPr>
        <w:t>.</w:t>
      </w:r>
    </w:p>
    <w:p w14:paraId="50330CFD" w14:textId="77777777" w:rsidR="00BD507B" w:rsidRPr="003C24C0" w:rsidRDefault="00BD507B" w:rsidP="003C24C0">
      <w:pPr>
        <w:pStyle w:val="FootnoteText"/>
        <w:spacing w:before="120" w:line="300" w:lineRule="atLeast"/>
        <w:jc w:val="both"/>
        <w:rPr>
          <w:rFonts w:ascii="Garamond" w:hAnsi="Garamond"/>
          <w:sz w:val="25"/>
          <w:szCs w:val="25"/>
          <w:lang w:val="en-US"/>
        </w:rPr>
      </w:pPr>
      <w:r w:rsidRPr="003C24C0">
        <w:rPr>
          <w:rFonts w:ascii="Garamond" w:hAnsi="Garamond"/>
          <w:sz w:val="25"/>
          <w:szCs w:val="25"/>
          <w:lang w:val="en-US"/>
        </w:rPr>
        <w:t xml:space="preserve">Sanford J. Grossman &amp; Oliver D. Hart, </w:t>
      </w:r>
      <w:r w:rsidRPr="003C24C0">
        <w:rPr>
          <w:rFonts w:ascii="Garamond" w:hAnsi="Garamond"/>
          <w:i/>
          <w:sz w:val="25"/>
          <w:szCs w:val="25"/>
          <w:lang w:val="en-US"/>
        </w:rPr>
        <w:t xml:space="preserve">Share-one vote and the market for corporate control, </w:t>
      </w:r>
      <w:r w:rsidRPr="003C24C0">
        <w:rPr>
          <w:rFonts w:ascii="Garamond" w:hAnsi="Garamond"/>
          <w:sz w:val="25"/>
          <w:szCs w:val="25"/>
          <w:lang w:val="en-US"/>
        </w:rPr>
        <w:t xml:space="preserve">20 </w:t>
      </w:r>
      <w:r w:rsidRPr="003C24C0">
        <w:rPr>
          <w:rFonts w:ascii="Garamond" w:hAnsi="Garamond"/>
          <w:smallCaps/>
          <w:sz w:val="25"/>
          <w:szCs w:val="25"/>
          <w:lang w:val="en-US"/>
        </w:rPr>
        <w:t>J. Fin. Econ.</w:t>
      </w:r>
      <w:r w:rsidRPr="003C24C0">
        <w:rPr>
          <w:rFonts w:ascii="Garamond" w:hAnsi="Garamond"/>
          <w:sz w:val="25"/>
          <w:szCs w:val="25"/>
          <w:lang w:val="en-US"/>
        </w:rPr>
        <w:t xml:space="preserve"> 175 (1988).</w:t>
      </w:r>
    </w:p>
    <w:p w14:paraId="518614A9" w14:textId="77777777" w:rsidR="00BD507B" w:rsidRPr="003C24C0" w:rsidRDefault="00BD507B" w:rsidP="003C24C0">
      <w:pPr>
        <w:spacing w:before="120" w:after="0" w:line="300" w:lineRule="atLeast"/>
        <w:jc w:val="both"/>
        <w:rPr>
          <w:rFonts w:ascii="Garamond" w:hAnsi="Garamond"/>
          <w:sz w:val="25"/>
          <w:szCs w:val="25"/>
        </w:rPr>
      </w:pPr>
      <w:r w:rsidRPr="003C24C0">
        <w:rPr>
          <w:rFonts w:ascii="Garamond" w:eastAsia="Times New Roman" w:hAnsi="Garamond" w:cs="Times New Roman"/>
          <w:smallCaps/>
          <w:sz w:val="25"/>
          <w:szCs w:val="25"/>
          <w:lang w:eastAsia="it-IT"/>
        </w:rPr>
        <w:t>Securities And Exchange Commission (Release No. 34-82948; File No. SR-IEX-2018-06) (March 27, 2018)</w:t>
      </w:r>
      <w:r w:rsidRPr="003C24C0">
        <w:rPr>
          <w:rFonts w:ascii="Garamond" w:eastAsia="Times New Roman" w:hAnsi="Garamond" w:cs="Times New Roman"/>
          <w:sz w:val="25"/>
          <w:szCs w:val="25"/>
          <w:lang w:eastAsia="it-IT"/>
        </w:rPr>
        <w:t xml:space="preserve">, </w:t>
      </w:r>
      <w:r w:rsidRPr="003C24C0">
        <w:rPr>
          <w:rFonts w:ascii="Garamond" w:eastAsia="Times New Roman" w:hAnsi="Garamond" w:cs="Times New Roman"/>
          <w:i/>
          <w:sz w:val="25"/>
          <w:szCs w:val="25"/>
          <w:lang w:eastAsia="it-IT"/>
        </w:rPr>
        <w:t>available at</w:t>
      </w:r>
      <w:r w:rsidRPr="003C24C0">
        <w:rPr>
          <w:rFonts w:ascii="Garamond" w:eastAsia="Times New Roman" w:hAnsi="Garamond" w:cs="Times New Roman"/>
          <w:sz w:val="25"/>
          <w:szCs w:val="25"/>
          <w:lang w:eastAsia="it-IT"/>
        </w:rPr>
        <w:t xml:space="preserve"> </w:t>
      </w:r>
      <w:hyperlink r:id="rId13" w:history="1">
        <w:r w:rsidRPr="003C24C0">
          <w:rPr>
            <w:rStyle w:val="Hyperlink"/>
            <w:rFonts w:ascii="Garamond" w:hAnsi="Garamond"/>
            <w:sz w:val="25"/>
            <w:szCs w:val="25"/>
          </w:rPr>
          <w:t>https://www.sec.gov/rules/sro/iex/2018/34-82948.pdf</w:t>
        </w:r>
      </w:hyperlink>
      <w:r w:rsidRPr="003C24C0">
        <w:rPr>
          <w:rFonts w:ascii="Garamond" w:hAnsi="Garamond"/>
          <w:sz w:val="25"/>
          <w:szCs w:val="25"/>
        </w:rPr>
        <w:t>.</w:t>
      </w:r>
    </w:p>
    <w:p w14:paraId="1FD36D90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  <w:lang w:val="fr-FR"/>
        </w:rPr>
      </w:pPr>
      <w:r w:rsidRPr="003C24C0">
        <w:rPr>
          <w:rFonts w:ascii="Garamond" w:hAnsi="Garamond" w:cs=""/>
          <w:sz w:val="25"/>
          <w:szCs w:val="25"/>
          <w:lang w:val="fr-FR"/>
        </w:rPr>
        <w:t xml:space="preserve">Stéphane Torck, </w:t>
      </w:r>
      <w:r w:rsidRPr="003C24C0">
        <w:rPr>
          <w:rFonts w:ascii="Garamond" w:hAnsi="Garamond" w:cs=""/>
          <w:i/>
          <w:sz w:val="25"/>
          <w:szCs w:val="25"/>
          <w:lang w:val="fr-FR"/>
        </w:rPr>
        <w:t>L’attribution automatique du droit de vote double</w:t>
      </w:r>
      <w:r w:rsidRPr="003C24C0">
        <w:rPr>
          <w:rFonts w:ascii="Garamond" w:hAnsi="Garamond" w:cs=""/>
          <w:sz w:val="25"/>
          <w:szCs w:val="25"/>
          <w:lang w:val="fr-FR"/>
        </w:rPr>
        <w:t xml:space="preserve">, in </w:t>
      </w:r>
      <w:r w:rsidRPr="003C24C0">
        <w:rPr>
          <w:rFonts w:ascii="Garamond" w:hAnsi="Garamond" w:cs=""/>
          <w:i/>
          <w:sz w:val="25"/>
          <w:szCs w:val="25"/>
          <w:lang w:val="fr-FR"/>
        </w:rPr>
        <w:t>Le droit de vote</w:t>
      </w:r>
      <w:r w:rsidRPr="003C24C0">
        <w:rPr>
          <w:rFonts w:ascii="Garamond" w:hAnsi="Garamond" w:cs=""/>
          <w:sz w:val="25"/>
          <w:szCs w:val="25"/>
          <w:lang w:val="fr-FR"/>
        </w:rPr>
        <w:t xml:space="preserve">, Michel Germain (ed.), </w:t>
      </w:r>
      <w:r w:rsidRPr="003C24C0">
        <w:rPr>
          <w:rFonts w:ascii="Garamond" w:hAnsi="Garamond" w:cs=""/>
          <w:smallCaps/>
          <w:sz w:val="25"/>
          <w:szCs w:val="25"/>
          <w:lang w:val="fr-FR"/>
        </w:rPr>
        <w:t>Droit de Societes</w:t>
      </w:r>
      <w:r w:rsidRPr="003C24C0">
        <w:rPr>
          <w:rFonts w:ascii="Garamond" w:hAnsi="Garamond" w:cs=""/>
          <w:sz w:val="25"/>
          <w:szCs w:val="25"/>
          <w:lang w:val="fr-FR"/>
        </w:rPr>
        <w:t xml:space="preserve"> 18 (2014).</w:t>
      </w:r>
    </w:p>
    <w:p w14:paraId="0D1F02CF" w14:textId="77777777" w:rsidR="00BD507B" w:rsidRPr="003C24C0" w:rsidRDefault="00BD507B" w:rsidP="003C24C0">
      <w:pPr>
        <w:pStyle w:val="FootnoteText"/>
        <w:spacing w:before="120" w:line="300" w:lineRule="atLeast"/>
        <w:jc w:val="both"/>
        <w:rPr>
          <w:rFonts w:ascii="Garamond" w:hAnsi="Garamond"/>
          <w:sz w:val="25"/>
          <w:szCs w:val="25"/>
          <w:lang w:val="en-US"/>
        </w:rPr>
      </w:pPr>
      <w:r w:rsidRPr="003C24C0">
        <w:rPr>
          <w:rFonts w:ascii="Garamond" w:hAnsi="Garamond"/>
          <w:sz w:val="25"/>
          <w:szCs w:val="25"/>
          <w:lang w:val="en-US"/>
        </w:rPr>
        <w:t xml:space="preserve">Valentin Dimitrov &amp; Prem C. Jain, </w:t>
      </w:r>
      <w:r w:rsidRPr="003C24C0">
        <w:rPr>
          <w:rFonts w:ascii="Garamond" w:hAnsi="Garamond"/>
          <w:i/>
          <w:sz w:val="25"/>
          <w:szCs w:val="25"/>
          <w:lang w:val="en-US"/>
        </w:rPr>
        <w:t>Recapitalization of one class of common stock into dual-class: Growth and long-run stock returns</w:t>
      </w:r>
      <w:r w:rsidRPr="003C24C0">
        <w:rPr>
          <w:rFonts w:ascii="Garamond" w:hAnsi="Garamond"/>
          <w:sz w:val="25"/>
          <w:szCs w:val="25"/>
          <w:lang w:val="en-US"/>
        </w:rPr>
        <w:t xml:space="preserve">, 12 J. </w:t>
      </w:r>
      <w:r w:rsidRPr="003C24C0">
        <w:rPr>
          <w:rFonts w:ascii="Garamond" w:hAnsi="Garamond"/>
          <w:smallCaps/>
          <w:sz w:val="25"/>
          <w:szCs w:val="25"/>
          <w:lang w:val="en-US"/>
        </w:rPr>
        <w:t>Corp</w:t>
      </w:r>
      <w:r w:rsidRPr="003C24C0">
        <w:rPr>
          <w:rFonts w:ascii="Garamond" w:hAnsi="Garamond"/>
          <w:sz w:val="25"/>
          <w:szCs w:val="25"/>
          <w:lang w:val="en-US"/>
        </w:rPr>
        <w:t xml:space="preserve">. </w:t>
      </w:r>
      <w:r w:rsidRPr="003C24C0">
        <w:rPr>
          <w:rFonts w:ascii="Garamond" w:hAnsi="Garamond"/>
          <w:smallCaps/>
          <w:sz w:val="25"/>
          <w:szCs w:val="25"/>
          <w:lang w:val="en-US"/>
        </w:rPr>
        <w:t>Fin</w:t>
      </w:r>
      <w:r w:rsidRPr="003C24C0">
        <w:rPr>
          <w:rFonts w:ascii="Garamond" w:hAnsi="Garamond"/>
          <w:sz w:val="25"/>
          <w:szCs w:val="25"/>
          <w:lang w:val="en-US"/>
        </w:rPr>
        <w:t>. 342 (2006).</w:t>
      </w:r>
    </w:p>
    <w:p w14:paraId="79BB7C56" w14:textId="77777777" w:rsidR="00BD507B" w:rsidRPr="003C24C0" w:rsidRDefault="00BD507B" w:rsidP="003C24C0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Garamond" w:hAnsi="Garamond" w:cs=""/>
          <w:sz w:val="25"/>
          <w:szCs w:val="25"/>
        </w:rPr>
      </w:pPr>
      <w:r w:rsidRPr="003C24C0">
        <w:rPr>
          <w:rFonts w:ascii="Garamond" w:hAnsi="Garamond" w:cs=""/>
          <w:sz w:val="25"/>
          <w:szCs w:val="25"/>
        </w:rPr>
        <w:t xml:space="preserve">Zohar Goshen, </w:t>
      </w:r>
      <w:r w:rsidRPr="003C24C0">
        <w:rPr>
          <w:rFonts w:ascii="Garamond" w:hAnsi="Garamond" w:cs=""/>
          <w:i/>
          <w:sz w:val="25"/>
          <w:szCs w:val="25"/>
        </w:rPr>
        <w:t>Against Mandatory Sunset for Dual Class Firms</w:t>
      </w:r>
      <w:r w:rsidRPr="003C24C0">
        <w:rPr>
          <w:rFonts w:ascii="Garamond" w:hAnsi="Garamond" w:cs=""/>
          <w:sz w:val="25"/>
          <w:szCs w:val="25"/>
        </w:rPr>
        <w:t xml:space="preserve">, CLS Blue Sky Blog (January 2, 2019), </w:t>
      </w:r>
      <w:r w:rsidRPr="003C24C0">
        <w:rPr>
          <w:rFonts w:ascii="Garamond" w:hAnsi="Garamond" w:cs=""/>
          <w:i/>
          <w:sz w:val="25"/>
          <w:szCs w:val="25"/>
        </w:rPr>
        <w:t xml:space="preserve">available at </w:t>
      </w:r>
      <w:r w:rsidRPr="003C24C0">
        <w:rPr>
          <w:rFonts w:ascii="Garamond" w:hAnsi="Garamond" w:cs=""/>
          <w:sz w:val="25"/>
          <w:szCs w:val="25"/>
        </w:rPr>
        <w:t>http://clsbluesky.law.columbia.edu/2019/01/02/against-mandatory-sunset-for-dual-class-firms/.</w:t>
      </w:r>
    </w:p>
    <w:sectPr w:rsidR="00BD507B" w:rsidRPr="003C24C0" w:rsidSect="003C24C0">
      <w:footerReference w:type="default" r:id="rId14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4BF77" w14:textId="77777777" w:rsidR="004901A3" w:rsidRDefault="004901A3" w:rsidP="003C24C0">
      <w:pPr>
        <w:spacing w:after="0" w:line="240" w:lineRule="auto"/>
      </w:pPr>
      <w:r>
        <w:separator/>
      </w:r>
    </w:p>
  </w:endnote>
  <w:endnote w:type="continuationSeparator" w:id="0">
    <w:p w14:paraId="6EBE2B3C" w14:textId="77777777" w:rsidR="004901A3" w:rsidRDefault="004901A3" w:rsidP="003C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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Slab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071842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63A74EB7" w14:textId="3A6804A6" w:rsidR="003C24C0" w:rsidRPr="003C24C0" w:rsidRDefault="003C24C0" w:rsidP="003C24C0">
        <w:pPr>
          <w:pStyle w:val="Footer"/>
          <w:jc w:val="center"/>
          <w:rPr>
            <w:rFonts w:ascii="Garamond" w:hAnsi="Garamond"/>
          </w:rPr>
        </w:pPr>
        <w:r w:rsidRPr="003C24C0">
          <w:rPr>
            <w:rFonts w:ascii="Garamond" w:hAnsi="Garamond"/>
          </w:rPr>
          <w:fldChar w:fldCharType="begin"/>
        </w:r>
        <w:r w:rsidRPr="003C24C0">
          <w:rPr>
            <w:rFonts w:ascii="Garamond" w:hAnsi="Garamond"/>
          </w:rPr>
          <w:instrText>PAGE   \* MERGEFORMAT</w:instrText>
        </w:r>
        <w:r w:rsidRPr="003C24C0">
          <w:rPr>
            <w:rFonts w:ascii="Garamond" w:hAnsi="Garamond"/>
          </w:rPr>
          <w:fldChar w:fldCharType="separate"/>
        </w:r>
        <w:r w:rsidR="0082573D" w:rsidRPr="0082573D">
          <w:rPr>
            <w:rFonts w:ascii="Garamond" w:hAnsi="Garamond"/>
            <w:noProof/>
            <w:lang w:val="it-IT"/>
          </w:rPr>
          <w:t>1</w:t>
        </w:r>
        <w:r w:rsidRPr="003C24C0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67E0F" w14:textId="77777777" w:rsidR="004901A3" w:rsidRDefault="004901A3" w:rsidP="003C24C0">
      <w:pPr>
        <w:spacing w:after="0" w:line="240" w:lineRule="auto"/>
      </w:pPr>
      <w:r>
        <w:separator/>
      </w:r>
    </w:p>
  </w:footnote>
  <w:footnote w:type="continuationSeparator" w:id="0">
    <w:p w14:paraId="59897995" w14:textId="77777777" w:rsidR="004901A3" w:rsidRDefault="004901A3" w:rsidP="003C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B565A"/>
    <w:multiLevelType w:val="hybridMultilevel"/>
    <w:tmpl w:val="81901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4"/>
    <w:rsid w:val="00002BB5"/>
    <w:rsid w:val="00242D3D"/>
    <w:rsid w:val="00245C44"/>
    <w:rsid w:val="002A25E9"/>
    <w:rsid w:val="00391843"/>
    <w:rsid w:val="003C24C0"/>
    <w:rsid w:val="0042324D"/>
    <w:rsid w:val="0046464D"/>
    <w:rsid w:val="00475A81"/>
    <w:rsid w:val="004901A3"/>
    <w:rsid w:val="00582AB5"/>
    <w:rsid w:val="005C20B0"/>
    <w:rsid w:val="005E65C8"/>
    <w:rsid w:val="00621732"/>
    <w:rsid w:val="00671AC8"/>
    <w:rsid w:val="006A7904"/>
    <w:rsid w:val="0071560D"/>
    <w:rsid w:val="007850B9"/>
    <w:rsid w:val="007B4FAF"/>
    <w:rsid w:val="0082573D"/>
    <w:rsid w:val="00865846"/>
    <w:rsid w:val="008D6E5C"/>
    <w:rsid w:val="009233C8"/>
    <w:rsid w:val="00B31E58"/>
    <w:rsid w:val="00B858EE"/>
    <w:rsid w:val="00BD507B"/>
    <w:rsid w:val="00C01FBB"/>
    <w:rsid w:val="00C80BBA"/>
    <w:rsid w:val="00CA2EDF"/>
    <w:rsid w:val="00D67905"/>
    <w:rsid w:val="00E26F60"/>
    <w:rsid w:val="00E910F1"/>
    <w:rsid w:val="00E91C59"/>
    <w:rsid w:val="00E970EF"/>
    <w:rsid w:val="00EA2BDC"/>
    <w:rsid w:val="00F718EF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F39ABAD"/>
  <w15:docId w15:val="{CE1BB253-5812-40EF-BA3E-2732CAF2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F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8E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B858EE"/>
    <w:pPr>
      <w:spacing w:after="0" w:line="240" w:lineRule="auto"/>
    </w:pPr>
    <w:rPr>
      <w:sz w:val="20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58EE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unhideWhenUsed/>
    <w:rsid w:val="00B858EE"/>
    <w:rPr>
      <w:vertAlign w:val="superscript"/>
    </w:rPr>
  </w:style>
  <w:style w:type="paragraph" w:customStyle="1" w:styleId="Default">
    <w:name w:val="Default"/>
    <w:rsid w:val="00B85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4C0"/>
  </w:style>
  <w:style w:type="paragraph" w:styleId="Footer">
    <w:name w:val="footer"/>
    <w:basedOn w:val="Normal"/>
    <w:link w:val="FooterChar"/>
    <w:uiPriority w:val="99"/>
    <w:unhideWhenUsed/>
    <w:rsid w:val="003C24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b.europa.eu/pub/pdf/scpwps/ecbwp465.pdf?2a436e67ce16b853494adab3efb255d7" TargetMode="External"/><Relationship Id="rId13" Type="http://schemas.openxmlformats.org/officeDocument/2006/relationships/hyperlink" Target="https://www.sec.gov/rules/sro/iex/2018/34-8294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pri.org/sustainable-financial-system/focusing-on-long-term-investors-in-stock-exchange-innovation-/3595.artic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t.com/content/d1be68f4-a19f-11e8-85da-eeb7a9ce36e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pers.ssrn.com/sol3/papers.cfm?abstract_id=3128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rcinstitute.org/wp-content/uploads/2015/09/FINAL-Controlled-Company-ISS-Report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4F6F-9965-4830-9A6E-7482499C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Universita' Luigi Bocconi</Company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 Passador</dc:creator>
  <cp:lastModifiedBy>Mélisandre Shanks, Mlle</cp:lastModifiedBy>
  <cp:revision>2</cp:revision>
  <dcterms:created xsi:type="dcterms:W3CDTF">2019-04-10T19:17:00Z</dcterms:created>
  <dcterms:modified xsi:type="dcterms:W3CDTF">2019-04-10T19:17:00Z</dcterms:modified>
</cp:coreProperties>
</file>