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E556" w14:textId="482CF82F" w:rsidR="00FD578E" w:rsidRPr="00FD578E" w:rsidRDefault="00FD578E" w:rsidP="00FD578E">
      <w:pPr>
        <w:jc w:val="center"/>
        <w:rPr>
          <w:rFonts w:ascii="Times New Roman" w:hAnsi="Times New Roman" w:cs="Times New Roman"/>
          <w:b/>
          <w:u w:val="single"/>
        </w:rPr>
      </w:pPr>
      <w:bookmarkStart w:id="0" w:name="_GoBack"/>
      <w:bookmarkEnd w:id="0"/>
      <w:r w:rsidRPr="00FD578E">
        <w:rPr>
          <w:rFonts w:ascii="Times New Roman" w:hAnsi="Times New Roman" w:cs="Times New Roman"/>
          <w:b/>
          <w:u w:val="single"/>
        </w:rPr>
        <w:t>A Comparative Perspective on Online Speech Regulation</w:t>
      </w:r>
    </w:p>
    <w:p w14:paraId="4A00F2E1" w14:textId="77777777" w:rsidR="00FD578E" w:rsidRDefault="00FD578E" w:rsidP="008D18D8">
      <w:pPr>
        <w:rPr>
          <w:rFonts w:ascii="Times New Roman" w:hAnsi="Times New Roman" w:cs="Times New Roman"/>
        </w:rPr>
      </w:pPr>
    </w:p>
    <w:p w14:paraId="0664FB3A" w14:textId="475BD988" w:rsidR="00A53BC0" w:rsidRDefault="008D18D8" w:rsidP="00B52CC6">
      <w:pPr>
        <w:ind w:firstLine="720"/>
        <w:jc w:val="both"/>
        <w:rPr>
          <w:rFonts w:ascii="Times New Roman" w:hAnsi="Times New Roman" w:cs="Times New Roman"/>
        </w:rPr>
      </w:pPr>
      <w:r w:rsidRPr="008D18D8">
        <w:rPr>
          <w:rFonts w:ascii="Times New Roman" w:hAnsi="Times New Roman" w:cs="Times New Roman"/>
        </w:rPr>
        <w:t xml:space="preserve">Regulating online speech has </w:t>
      </w:r>
      <w:r>
        <w:rPr>
          <w:rFonts w:ascii="Times New Roman" w:hAnsi="Times New Roman" w:cs="Times New Roman"/>
        </w:rPr>
        <w:t>become a key concern for lawmak</w:t>
      </w:r>
      <w:r w:rsidRPr="008D18D8">
        <w:rPr>
          <w:rFonts w:ascii="Times New Roman" w:hAnsi="Times New Roman" w:cs="Times New Roman"/>
        </w:rPr>
        <w:t>ers in several countries.</w:t>
      </w:r>
      <w:r w:rsidR="00A53BC0">
        <w:rPr>
          <w:rFonts w:ascii="Times New Roman" w:hAnsi="Times New Roman" w:cs="Times New Roman"/>
        </w:rPr>
        <w:t xml:space="preserve"> Various social media efforts surrounding the 2016 U.S. presidential campaign set the stage domestically. The spread of predominantly right-wing populism in Europe—and the proliferation of its messages online—is increasingly alarming to national governments and the EU. Reflecting the divergent regulatory frameworks for speech, European lawmakers have already enacted, or are contemplating, legislative responses.</w:t>
      </w:r>
      <w:r w:rsidRPr="008D18D8">
        <w:rPr>
          <w:rFonts w:ascii="Times New Roman" w:hAnsi="Times New Roman" w:cs="Times New Roman"/>
        </w:rPr>
        <w:t xml:space="preserve"> </w:t>
      </w:r>
      <w:r w:rsidR="000872BE" w:rsidRPr="008D18D8">
        <w:rPr>
          <w:rFonts w:ascii="Times New Roman" w:hAnsi="Times New Roman" w:cs="Times New Roman"/>
        </w:rPr>
        <w:t>Criticisms of laws regulat</w:t>
      </w:r>
      <w:r w:rsidR="00415288">
        <w:rPr>
          <w:rFonts w:ascii="Times New Roman" w:hAnsi="Times New Roman" w:cs="Times New Roman"/>
        </w:rPr>
        <w:t>ing</w:t>
      </w:r>
      <w:r w:rsidR="000872BE" w:rsidRPr="008D18D8">
        <w:rPr>
          <w:rFonts w:ascii="Times New Roman" w:hAnsi="Times New Roman" w:cs="Times New Roman"/>
        </w:rPr>
        <w:t xml:space="preserve"> online speech are plenty, but a common mistake is </w:t>
      </w:r>
      <w:r w:rsidR="000872BE">
        <w:rPr>
          <w:rFonts w:ascii="Times New Roman" w:hAnsi="Times New Roman" w:cs="Times New Roman"/>
        </w:rPr>
        <w:t xml:space="preserve">merely </w:t>
      </w:r>
      <w:r w:rsidR="000872BE" w:rsidRPr="008D18D8">
        <w:rPr>
          <w:rFonts w:ascii="Times New Roman" w:hAnsi="Times New Roman" w:cs="Times New Roman"/>
        </w:rPr>
        <w:t>to reiterate critiques of speech regulation, including prohibitions of hate speech, in general.  Drawing out the old debate over whether to regulate speech in the firs</w:t>
      </w:r>
      <w:r w:rsidR="000872BE">
        <w:rPr>
          <w:rFonts w:ascii="Times New Roman" w:hAnsi="Times New Roman" w:cs="Times New Roman"/>
        </w:rPr>
        <w:t>t place, however, is unhelp</w:t>
      </w:r>
      <w:r w:rsidR="000872BE" w:rsidRPr="008D18D8">
        <w:rPr>
          <w:rFonts w:ascii="Times New Roman" w:hAnsi="Times New Roman" w:cs="Times New Roman"/>
        </w:rPr>
        <w:t>ful in designing or assessing new regulatory regimes for online speech and obscures deeper theoretical concerns raised by the nature of online speech.</w:t>
      </w:r>
    </w:p>
    <w:p w14:paraId="643A94B5" w14:textId="09AAA1BF" w:rsidR="000872BE" w:rsidRDefault="0079481C" w:rsidP="00B52CC6">
      <w:pPr>
        <w:ind w:firstLine="720"/>
        <w:jc w:val="both"/>
        <w:rPr>
          <w:rFonts w:ascii="Times New Roman" w:hAnsi="Times New Roman" w:cs="Times New Roman"/>
        </w:rPr>
      </w:pPr>
      <w:r w:rsidRPr="008D18D8">
        <w:rPr>
          <w:rFonts w:ascii="Times New Roman" w:hAnsi="Times New Roman" w:cs="Times New Roman"/>
        </w:rPr>
        <w:t xml:space="preserve">The normative balance between speech protection and speech regulation has been struck in different ways around the world, </w:t>
      </w:r>
      <w:r>
        <w:rPr>
          <w:rFonts w:ascii="Times New Roman" w:hAnsi="Times New Roman" w:cs="Times New Roman"/>
        </w:rPr>
        <w:t>and I suggest that this fun</w:t>
      </w:r>
      <w:r w:rsidRPr="008D18D8">
        <w:rPr>
          <w:rFonts w:ascii="Times New Roman" w:hAnsi="Times New Roman" w:cs="Times New Roman"/>
        </w:rPr>
        <w:t>damental balance is unlikely to be upset by new speech mediums. Though there may be some contestation and renegotiation at the margins, the entire universe of online speech likely will not be governed by a different set of rules than speech</w:t>
      </w:r>
      <w:r>
        <w:rPr>
          <w:rFonts w:ascii="Times New Roman" w:hAnsi="Times New Roman" w:cs="Times New Roman"/>
        </w:rPr>
        <w:t xml:space="preserve"> offline.</w:t>
      </w:r>
      <w:r w:rsidRPr="008D18D8">
        <w:rPr>
          <w:rFonts w:ascii="Times New Roman" w:hAnsi="Times New Roman" w:cs="Times New Roman"/>
        </w:rPr>
        <w:t xml:space="preserve"> Democratic values, however understood by nation states and their citizens, will be expected to equally apply in both spheres. National or supranational legal systems that have struck the balance in favor of hate speech regulation, for example, will likely seek such regulation to be mirrore</w:t>
      </w:r>
      <w:r>
        <w:rPr>
          <w:rFonts w:ascii="Times New Roman" w:hAnsi="Times New Roman" w:cs="Times New Roman"/>
        </w:rPr>
        <w:t xml:space="preserve">d online as well. </w:t>
      </w:r>
      <w:r w:rsidR="00B615D7">
        <w:rPr>
          <w:rFonts w:ascii="Times New Roman" w:hAnsi="Times New Roman" w:cs="Times New Roman"/>
        </w:rPr>
        <w:t xml:space="preserve">Thus, it </w:t>
      </w:r>
      <w:r w:rsidR="00B615D7" w:rsidRPr="008D18D8">
        <w:rPr>
          <w:rFonts w:ascii="Times New Roman" w:hAnsi="Times New Roman" w:cs="Times New Roman"/>
        </w:rPr>
        <w:t>will not likely be the American understanding of free speech—an outlier in its protection of hate speech and other forms of expression impermissible elsewhere—that will govern all online speech around the world.</w:t>
      </w:r>
      <w:r w:rsidR="00B615D7">
        <w:rPr>
          <w:rFonts w:ascii="Times New Roman" w:hAnsi="Times New Roman" w:cs="Times New Roman"/>
        </w:rPr>
        <w:t xml:space="preserve"> </w:t>
      </w:r>
      <w:r>
        <w:rPr>
          <w:rFonts w:ascii="Times New Roman" w:hAnsi="Times New Roman" w:cs="Times New Roman"/>
        </w:rPr>
        <w:t xml:space="preserve"> </w:t>
      </w:r>
      <w:r w:rsidRPr="008D18D8">
        <w:rPr>
          <w:rFonts w:ascii="Times New Roman" w:hAnsi="Times New Roman" w:cs="Times New Roman"/>
        </w:rPr>
        <w:t>The real challenge, rather, lies in identifying whether, or to what extent, online speech regulation is different, and how new regulatory regimes should account for that differ</w:t>
      </w:r>
      <w:r>
        <w:rPr>
          <w:rFonts w:ascii="Times New Roman" w:hAnsi="Times New Roman" w:cs="Times New Roman"/>
        </w:rPr>
        <w:t>ence. This first requires under</w:t>
      </w:r>
      <w:r w:rsidRPr="008D18D8">
        <w:rPr>
          <w:rFonts w:ascii="Times New Roman" w:hAnsi="Times New Roman" w:cs="Times New Roman"/>
        </w:rPr>
        <w:t>standing the national and supranatio</w:t>
      </w:r>
      <w:r>
        <w:rPr>
          <w:rFonts w:ascii="Times New Roman" w:hAnsi="Times New Roman" w:cs="Times New Roman"/>
        </w:rPr>
        <w:t>nal frameworks of speech protec</w:t>
      </w:r>
      <w:r w:rsidRPr="008D18D8">
        <w:rPr>
          <w:rFonts w:ascii="Times New Roman" w:hAnsi="Times New Roman" w:cs="Times New Roman"/>
        </w:rPr>
        <w:t xml:space="preserve">tion and their respective limits in which regulation of online speech occurs, before assessing whether such regulation is compatible across systems to the extent that this is required by the nature of speech online. </w:t>
      </w:r>
    </w:p>
    <w:p w14:paraId="342933EF" w14:textId="01E77224" w:rsidR="000872BE" w:rsidRPr="008D18D8" w:rsidRDefault="000872BE" w:rsidP="009774AA">
      <w:pPr>
        <w:ind w:firstLine="720"/>
        <w:jc w:val="both"/>
        <w:rPr>
          <w:rFonts w:ascii="Times New Roman" w:hAnsi="Times New Roman" w:cs="Times New Roman"/>
        </w:rPr>
      </w:pPr>
      <w:r w:rsidRPr="000872BE">
        <w:rPr>
          <w:rFonts w:ascii="Times New Roman" w:hAnsi="Times New Roman" w:cs="Times New Roman"/>
        </w:rPr>
        <w:t xml:space="preserve">To illustrate, </w:t>
      </w:r>
      <w:r w:rsidR="00415288">
        <w:rPr>
          <w:rFonts w:ascii="Times New Roman" w:hAnsi="Times New Roman" w:cs="Times New Roman"/>
        </w:rPr>
        <w:t xml:space="preserve">I examine </w:t>
      </w:r>
      <w:r w:rsidRPr="000872BE">
        <w:rPr>
          <w:rFonts w:ascii="Times New Roman" w:hAnsi="Times New Roman" w:cs="Times New Roman"/>
        </w:rPr>
        <w:t>two</w:t>
      </w:r>
      <w:r>
        <w:rPr>
          <w:rFonts w:ascii="Times New Roman" w:hAnsi="Times New Roman" w:cs="Times New Roman"/>
        </w:rPr>
        <w:t xml:space="preserve"> sets of German regulatory measures targeting various forms of online speech to investigate how such legal responses are shaped by existing national constitutional frameworks. </w:t>
      </w:r>
      <w:r w:rsidR="00A53BC0">
        <w:rPr>
          <w:rFonts w:ascii="Times New Roman" w:hAnsi="Times New Roman" w:cs="Times New Roman"/>
        </w:rPr>
        <w:t xml:space="preserve">First, the </w:t>
      </w:r>
      <w:proofErr w:type="spellStart"/>
      <w:r w:rsidR="00A53BC0" w:rsidRPr="000E05AD">
        <w:rPr>
          <w:rFonts w:ascii="Times New Roman" w:hAnsi="Times New Roman" w:cs="Times New Roman"/>
          <w:i/>
        </w:rPr>
        <w:t>Netzwerkdurchsetzungsgesetz</w:t>
      </w:r>
      <w:proofErr w:type="spellEnd"/>
      <w:r w:rsidR="00A53BC0">
        <w:rPr>
          <w:rFonts w:ascii="Times New Roman" w:hAnsi="Times New Roman" w:cs="Times New Roman"/>
        </w:rPr>
        <w:t>, (“</w:t>
      </w:r>
      <w:proofErr w:type="spellStart"/>
      <w:r w:rsidR="00A53BC0">
        <w:rPr>
          <w:rFonts w:ascii="Times New Roman" w:hAnsi="Times New Roman" w:cs="Times New Roman"/>
        </w:rPr>
        <w:t>NetzDG</w:t>
      </w:r>
      <w:proofErr w:type="spellEnd"/>
      <w:r w:rsidR="00A53BC0" w:rsidRPr="000E05AD">
        <w:rPr>
          <w:rFonts w:ascii="Times New Roman" w:hAnsi="Times New Roman" w:cs="Times New Roman"/>
        </w:rPr>
        <w:t>”</w:t>
      </w:r>
      <w:r w:rsidR="00A53BC0">
        <w:rPr>
          <w:rFonts w:ascii="Times New Roman" w:hAnsi="Times New Roman" w:cs="Times New Roman"/>
        </w:rPr>
        <w:t>), in force since January 2018, aims to bet</w:t>
      </w:r>
      <w:r w:rsidR="00A53BC0" w:rsidRPr="008D18D8">
        <w:rPr>
          <w:rFonts w:ascii="Times New Roman" w:hAnsi="Times New Roman" w:cs="Times New Roman"/>
        </w:rPr>
        <w:t>ter enforce the country’s hate speech prohibitions on social media platforms.</w:t>
      </w:r>
      <w:r w:rsidR="00A53BC0">
        <w:rPr>
          <w:rFonts w:ascii="Times New Roman" w:hAnsi="Times New Roman" w:cs="Times New Roman"/>
        </w:rPr>
        <w:t xml:space="preserve"> Second, a recent initiative, supported by the </w:t>
      </w:r>
      <w:r w:rsidR="00A53BC0" w:rsidRPr="008F72D1">
        <w:rPr>
          <w:rFonts w:ascii="Times New Roman" w:hAnsi="Times New Roman" w:cs="Times New Roman"/>
          <w:i/>
        </w:rPr>
        <w:t>Bundesrat</w:t>
      </w:r>
      <w:r w:rsidR="00A53BC0">
        <w:rPr>
          <w:rFonts w:ascii="Times New Roman" w:hAnsi="Times New Roman" w:cs="Times New Roman"/>
        </w:rPr>
        <w:t xml:space="preserve"> and parties of the governing coalition in the </w:t>
      </w:r>
      <w:r w:rsidR="00A53BC0" w:rsidRPr="008F72D1">
        <w:rPr>
          <w:rFonts w:ascii="Times New Roman" w:hAnsi="Times New Roman" w:cs="Times New Roman"/>
          <w:i/>
        </w:rPr>
        <w:t>Bundestag</w:t>
      </w:r>
      <w:r w:rsidR="00A53BC0">
        <w:rPr>
          <w:rFonts w:ascii="Times New Roman" w:hAnsi="Times New Roman" w:cs="Times New Roman"/>
        </w:rPr>
        <w:t xml:space="preserve">, seeks to target bots on social media. The concern here is that democratic discourse is distorted by non-human actors that are used to amplify certain messages, drowning out others. One key aspect of the proposal is a disclosure requirement that would identify bots as such. </w:t>
      </w:r>
      <w:r>
        <w:rPr>
          <w:rFonts w:ascii="Times New Roman" w:hAnsi="Times New Roman" w:cs="Times New Roman"/>
        </w:rPr>
        <w:t xml:space="preserve">While the </w:t>
      </w:r>
      <w:proofErr w:type="spellStart"/>
      <w:r>
        <w:rPr>
          <w:rFonts w:ascii="Times New Roman" w:hAnsi="Times New Roman" w:cs="Times New Roman"/>
        </w:rPr>
        <w:t>NetzDG</w:t>
      </w:r>
      <w:proofErr w:type="spellEnd"/>
      <w:r>
        <w:rPr>
          <w:rFonts w:ascii="Times New Roman" w:hAnsi="Times New Roman" w:cs="Times New Roman"/>
        </w:rPr>
        <w:t xml:space="preserve"> seeks to implement existing law governing certain messages offline, the bot legislation would target a type of speaker unknown offline. </w:t>
      </w:r>
    </w:p>
    <w:p w14:paraId="0775812B" w14:textId="27128A33" w:rsidR="009774AA" w:rsidRDefault="008D18D8" w:rsidP="00B52CC6">
      <w:pPr>
        <w:ind w:firstLine="720"/>
        <w:jc w:val="both"/>
        <w:rPr>
          <w:rFonts w:ascii="Times New Roman" w:hAnsi="Times New Roman" w:cs="Times New Roman"/>
        </w:rPr>
      </w:pPr>
      <w:r w:rsidRPr="008D18D8">
        <w:rPr>
          <w:rFonts w:ascii="Times New Roman" w:hAnsi="Times New Roman" w:cs="Times New Roman"/>
        </w:rPr>
        <w:t xml:space="preserve">This </w:t>
      </w:r>
      <w:r w:rsidR="000E05AD">
        <w:rPr>
          <w:rFonts w:ascii="Times New Roman" w:hAnsi="Times New Roman" w:cs="Times New Roman"/>
        </w:rPr>
        <w:t>paper</w:t>
      </w:r>
      <w:r w:rsidRPr="008D18D8">
        <w:rPr>
          <w:rFonts w:ascii="Times New Roman" w:hAnsi="Times New Roman" w:cs="Times New Roman"/>
        </w:rPr>
        <w:t xml:space="preserve"> proceeds in three parts. Part One starts from the premise of largely settled normative arrangements regarding the scope and limits of constitutional speech protection that differ among nation states. Against this backdrop,</w:t>
      </w:r>
      <w:r>
        <w:rPr>
          <w:rFonts w:ascii="Times New Roman" w:hAnsi="Times New Roman" w:cs="Times New Roman"/>
        </w:rPr>
        <w:t xml:space="preserve"> it traces national and suprana</w:t>
      </w:r>
      <w:r w:rsidRPr="008D18D8">
        <w:rPr>
          <w:rFonts w:ascii="Times New Roman" w:hAnsi="Times New Roman" w:cs="Times New Roman"/>
        </w:rPr>
        <w:t>tional efforts to regulate online spee</w:t>
      </w:r>
      <w:r>
        <w:rPr>
          <w:rFonts w:ascii="Times New Roman" w:hAnsi="Times New Roman" w:cs="Times New Roman"/>
        </w:rPr>
        <w:t xml:space="preserve">ch through the lens of Jack </w:t>
      </w:r>
      <w:proofErr w:type="spellStart"/>
      <w:r>
        <w:rPr>
          <w:rFonts w:ascii="Times New Roman" w:hAnsi="Times New Roman" w:cs="Times New Roman"/>
        </w:rPr>
        <w:t>Bal</w:t>
      </w:r>
      <w:r w:rsidRPr="008D18D8">
        <w:rPr>
          <w:rFonts w:ascii="Times New Roman" w:hAnsi="Times New Roman" w:cs="Times New Roman"/>
        </w:rPr>
        <w:t>kin’s</w:t>
      </w:r>
      <w:proofErr w:type="spellEnd"/>
      <w:r w:rsidRPr="008D18D8">
        <w:rPr>
          <w:rFonts w:ascii="Times New Roman" w:hAnsi="Times New Roman" w:cs="Times New Roman"/>
        </w:rPr>
        <w:t xml:space="preserve"> distinction between “old school”</w:t>
      </w:r>
      <w:r>
        <w:rPr>
          <w:rFonts w:ascii="Times New Roman" w:hAnsi="Times New Roman" w:cs="Times New Roman"/>
        </w:rPr>
        <w:t xml:space="preserve"> and “new school” speech regu</w:t>
      </w:r>
      <w:r w:rsidRPr="008D18D8">
        <w:rPr>
          <w:rFonts w:ascii="Times New Roman" w:hAnsi="Times New Roman" w:cs="Times New Roman"/>
        </w:rPr>
        <w:t>lation. The p</w:t>
      </w:r>
      <w:r w:rsidR="00083407">
        <w:rPr>
          <w:rFonts w:ascii="Times New Roman" w:hAnsi="Times New Roman" w:cs="Times New Roman"/>
        </w:rPr>
        <w:t>rimarily relevant question, I argue</w:t>
      </w:r>
      <w:r w:rsidRPr="008D18D8">
        <w:rPr>
          <w:rFonts w:ascii="Times New Roman" w:hAnsi="Times New Roman" w:cs="Times New Roman"/>
        </w:rPr>
        <w:t>, is not whether the constitutional balance itself is struck correctly, but what the regulatory regimes look like and how they interact with free speech values.</w:t>
      </w:r>
      <w:r w:rsidR="000E05AD">
        <w:rPr>
          <w:rFonts w:ascii="Times New Roman" w:hAnsi="Times New Roman" w:cs="Times New Roman"/>
        </w:rPr>
        <w:t xml:space="preserve"> </w:t>
      </w:r>
    </w:p>
    <w:p w14:paraId="086E8297" w14:textId="694BEEBD" w:rsidR="009713BE" w:rsidRDefault="008D18D8" w:rsidP="009774AA">
      <w:pPr>
        <w:ind w:firstLine="720"/>
        <w:jc w:val="both"/>
        <w:rPr>
          <w:rFonts w:ascii="Times New Roman" w:hAnsi="Times New Roman" w:cs="Times New Roman"/>
        </w:rPr>
      </w:pPr>
      <w:r w:rsidRPr="008D18D8">
        <w:rPr>
          <w:rFonts w:ascii="Times New Roman" w:hAnsi="Times New Roman" w:cs="Times New Roman"/>
        </w:rPr>
        <w:t xml:space="preserve">Part Two </w:t>
      </w:r>
      <w:r w:rsidR="00B52CC6">
        <w:rPr>
          <w:rFonts w:ascii="Times New Roman" w:hAnsi="Times New Roman" w:cs="Times New Roman"/>
        </w:rPr>
        <w:t>takes a comparative perspective, putting the German initiatives</w:t>
      </w:r>
      <w:r w:rsidRPr="008D18D8">
        <w:rPr>
          <w:rFonts w:ascii="Times New Roman" w:hAnsi="Times New Roman" w:cs="Times New Roman"/>
        </w:rPr>
        <w:t xml:space="preserve"> into conversation with the currently predominant American approach that has been widely adopted by the largest</w:t>
      </w:r>
      <w:r w:rsidR="00B52CC6">
        <w:rPr>
          <w:rFonts w:ascii="Times New Roman" w:hAnsi="Times New Roman" w:cs="Times New Roman"/>
        </w:rPr>
        <w:t xml:space="preserve"> </w:t>
      </w:r>
      <w:r w:rsidR="00B52CC6">
        <w:rPr>
          <w:rFonts w:ascii="Times New Roman" w:hAnsi="Times New Roman" w:cs="Times New Roman"/>
        </w:rPr>
        <w:lastRenderedPageBreak/>
        <w:t>online</w:t>
      </w:r>
      <w:r w:rsidRPr="008D18D8">
        <w:rPr>
          <w:rFonts w:ascii="Times New Roman" w:hAnsi="Times New Roman" w:cs="Times New Roman"/>
        </w:rPr>
        <w:t xml:space="preserve"> platforms as their guiding standard. </w:t>
      </w:r>
      <w:r w:rsidR="006F0A6D">
        <w:rPr>
          <w:rFonts w:ascii="Times New Roman" w:hAnsi="Times New Roman" w:cs="Times New Roman"/>
        </w:rPr>
        <w:t>And while r</w:t>
      </w:r>
      <w:r w:rsidR="00B615D7">
        <w:rPr>
          <w:rFonts w:ascii="Times New Roman" w:hAnsi="Times New Roman" w:cs="Times New Roman"/>
        </w:rPr>
        <w:t xml:space="preserve">egulation of online hate speech is unlikely in the United States, </w:t>
      </w:r>
      <w:r w:rsidR="009713BE">
        <w:rPr>
          <w:rFonts w:ascii="Times New Roman" w:hAnsi="Times New Roman" w:cs="Times New Roman"/>
        </w:rPr>
        <w:t xml:space="preserve">scholars in the United States have just begun to address the First Amendment implications of bot speech as a few state legislatures (such as New Jersey) are contemplating regulation that would require disclosure similar to the German bot measure. </w:t>
      </w:r>
    </w:p>
    <w:p w14:paraId="3AE16830" w14:textId="2CF48DC7" w:rsidR="00D0189D" w:rsidRPr="008D18D8" w:rsidRDefault="008D18D8" w:rsidP="00B52CC6">
      <w:pPr>
        <w:ind w:firstLine="720"/>
        <w:jc w:val="both"/>
        <w:rPr>
          <w:rFonts w:ascii="Times New Roman" w:hAnsi="Times New Roman" w:cs="Times New Roman"/>
        </w:rPr>
      </w:pPr>
      <w:r w:rsidRPr="008D18D8">
        <w:rPr>
          <w:rFonts w:ascii="Times New Roman" w:hAnsi="Times New Roman" w:cs="Times New Roman"/>
        </w:rPr>
        <w:t>Part Three sketches a framework for thinking about online speech regulation in comparative perspective with the aim of guiding policy</w:t>
      </w:r>
      <w:r w:rsidR="00B52CC6">
        <w:rPr>
          <w:rFonts w:ascii="Times New Roman" w:hAnsi="Times New Roman" w:cs="Times New Roman"/>
        </w:rPr>
        <w:t xml:space="preserve">, suggesting that </w:t>
      </w:r>
      <w:r w:rsidR="00D0189D">
        <w:rPr>
          <w:rFonts w:ascii="Times New Roman" w:hAnsi="Times New Roman" w:cs="Times New Roman"/>
        </w:rPr>
        <w:t>ultimately, it might be easier to align the regulation of truly distinctive online speech (such as bot speech) across divergent constitutional speech frameworks than online speech that largely replicates types of speech already subject to regulation offline (such as hate speech).</w:t>
      </w:r>
    </w:p>
    <w:p w14:paraId="76C89166" w14:textId="51008C34" w:rsidR="00D0189D" w:rsidRDefault="00D0189D" w:rsidP="00B52CC6">
      <w:pPr>
        <w:ind w:firstLine="720"/>
        <w:jc w:val="both"/>
        <w:rPr>
          <w:rFonts w:ascii="Times New Roman" w:hAnsi="Times New Roman" w:cs="Times New Roman"/>
        </w:rPr>
      </w:pPr>
    </w:p>
    <w:p w14:paraId="1D0F7F89" w14:textId="769C59AC" w:rsidR="003D7DD2" w:rsidRDefault="003D7DD2" w:rsidP="00B52CC6">
      <w:pPr>
        <w:ind w:firstLine="720"/>
        <w:jc w:val="both"/>
        <w:rPr>
          <w:rFonts w:ascii="Times New Roman" w:hAnsi="Times New Roman" w:cs="Times New Roman"/>
        </w:rPr>
      </w:pPr>
    </w:p>
    <w:p w14:paraId="67291072" w14:textId="18279019" w:rsidR="003D7DD2" w:rsidRPr="008D18D8" w:rsidRDefault="003D7DD2" w:rsidP="00B52CC6">
      <w:pPr>
        <w:ind w:firstLine="720"/>
        <w:jc w:val="both"/>
        <w:rPr>
          <w:rFonts w:ascii="Times New Roman" w:hAnsi="Times New Roman" w:cs="Times New Roman"/>
        </w:rPr>
      </w:pPr>
      <w:r>
        <w:rPr>
          <w:rFonts w:ascii="Times New Roman" w:hAnsi="Times New Roman" w:cs="Times New Roman"/>
        </w:rPr>
        <w:t>Keywords: comparative constitutional law, free speech, online speech regulation, social media</w:t>
      </w:r>
    </w:p>
    <w:p w14:paraId="387678F2" w14:textId="77777777" w:rsidR="00012A04" w:rsidRDefault="00581A45" w:rsidP="00B52CC6">
      <w:pPr>
        <w:ind w:firstLine="720"/>
      </w:pPr>
    </w:p>
    <w:sectPr w:rsidR="00012A04" w:rsidSect="001530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E4627" w14:textId="77777777" w:rsidR="004537FF" w:rsidRDefault="004537FF" w:rsidP="00FD578E">
      <w:r>
        <w:separator/>
      </w:r>
    </w:p>
  </w:endnote>
  <w:endnote w:type="continuationSeparator" w:id="0">
    <w:p w14:paraId="13352228" w14:textId="77777777" w:rsidR="004537FF" w:rsidRDefault="004537FF" w:rsidP="00FD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08D3" w14:textId="77777777" w:rsidR="004537FF" w:rsidRDefault="004537FF" w:rsidP="00FD578E">
      <w:r>
        <w:separator/>
      </w:r>
    </w:p>
  </w:footnote>
  <w:footnote w:type="continuationSeparator" w:id="0">
    <w:p w14:paraId="78A9D9F7" w14:textId="77777777" w:rsidR="004537FF" w:rsidRDefault="004537FF" w:rsidP="00FD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08B3" w14:textId="3FE5D12D" w:rsidR="00FD578E" w:rsidRPr="00FD578E" w:rsidRDefault="00FD578E">
    <w:pPr>
      <w:pStyle w:val="Header"/>
      <w:rPr>
        <w:rFonts w:ascii="Times New Roman" w:hAnsi="Times New Roman" w:cs="Times New Roman"/>
        <w:sz w:val="20"/>
        <w:szCs w:val="20"/>
      </w:rPr>
    </w:pPr>
    <w:r w:rsidRPr="00FD578E">
      <w:rPr>
        <w:rFonts w:ascii="Times New Roman" w:hAnsi="Times New Roman" w:cs="Times New Roman"/>
        <w:sz w:val="20"/>
        <w:szCs w:val="20"/>
      </w:rPr>
      <w:t>Claudia E. Haupt</w:t>
    </w:r>
    <w:r w:rsidR="006C5820">
      <w:rPr>
        <w:rFonts w:ascii="Times New Roman" w:hAnsi="Times New Roman" w:cs="Times New Roman"/>
        <w:sz w:val="20"/>
        <w:szCs w:val="20"/>
      </w:rPr>
      <w:t xml:space="preserve"> </w:t>
    </w:r>
    <w:r w:rsidR="006C5820">
      <w:rPr>
        <w:rFonts w:ascii="Times New Roman" w:hAnsi="Times New Roman" w:cs="Times New Roman"/>
        <w:sz w:val="20"/>
        <w:szCs w:val="20"/>
      </w:rPr>
      <w:tab/>
    </w:r>
    <w:r w:rsidR="006C5820">
      <w:rPr>
        <w:rFonts w:ascii="Times New Roman" w:hAnsi="Times New Roman" w:cs="Times New Roman"/>
        <w:sz w:val="20"/>
        <w:szCs w:val="20"/>
      </w:rPr>
      <w:tab/>
      <w:t>c.haupt@northeastern.edu</w:t>
    </w:r>
  </w:p>
  <w:p w14:paraId="5FEE8CC3" w14:textId="1664A7EA" w:rsidR="00FD578E" w:rsidRPr="00FD578E" w:rsidRDefault="00FD578E">
    <w:pPr>
      <w:pStyle w:val="Header"/>
      <w:rPr>
        <w:rFonts w:ascii="Times New Roman" w:hAnsi="Times New Roman" w:cs="Times New Roman"/>
        <w:sz w:val="20"/>
        <w:szCs w:val="20"/>
      </w:rPr>
    </w:pPr>
    <w:r w:rsidRPr="00FD578E">
      <w:rPr>
        <w:rFonts w:ascii="Times New Roman" w:hAnsi="Times New Roman" w:cs="Times New Roman"/>
        <w:sz w:val="20"/>
        <w:szCs w:val="20"/>
      </w:rPr>
      <w:t>Associate Professor of Law and Political Science</w:t>
    </w:r>
  </w:p>
  <w:p w14:paraId="2E8A67EB" w14:textId="24496242" w:rsidR="00FD578E" w:rsidRPr="00FD578E" w:rsidRDefault="00FD578E">
    <w:pPr>
      <w:pStyle w:val="Header"/>
      <w:rPr>
        <w:rFonts w:ascii="Times New Roman" w:hAnsi="Times New Roman" w:cs="Times New Roman"/>
        <w:sz w:val="20"/>
        <w:szCs w:val="20"/>
      </w:rPr>
    </w:pPr>
    <w:r w:rsidRPr="00FD578E">
      <w:rPr>
        <w:rFonts w:ascii="Times New Roman" w:hAnsi="Times New Roman" w:cs="Times New Roman"/>
        <w:sz w:val="20"/>
        <w:szCs w:val="20"/>
      </w:rPr>
      <w:t>Northeastern University</w:t>
    </w:r>
  </w:p>
  <w:p w14:paraId="4D69BBCC" w14:textId="77777777" w:rsidR="00FD578E" w:rsidRDefault="00FD5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D8"/>
    <w:rsid w:val="00083407"/>
    <w:rsid w:val="000872BE"/>
    <w:rsid w:val="000E05AD"/>
    <w:rsid w:val="00153067"/>
    <w:rsid w:val="00156364"/>
    <w:rsid w:val="003D7DD2"/>
    <w:rsid w:val="00415288"/>
    <w:rsid w:val="004537FF"/>
    <w:rsid w:val="00581A45"/>
    <w:rsid w:val="00657F44"/>
    <w:rsid w:val="00661154"/>
    <w:rsid w:val="006C5820"/>
    <w:rsid w:val="006F0A6D"/>
    <w:rsid w:val="0079481C"/>
    <w:rsid w:val="007C0E1B"/>
    <w:rsid w:val="008D18D8"/>
    <w:rsid w:val="009713BE"/>
    <w:rsid w:val="009774AA"/>
    <w:rsid w:val="00A53BC0"/>
    <w:rsid w:val="00B52CC6"/>
    <w:rsid w:val="00B615D7"/>
    <w:rsid w:val="00C4011A"/>
    <w:rsid w:val="00C82F69"/>
    <w:rsid w:val="00D0189D"/>
    <w:rsid w:val="00DE1FB5"/>
    <w:rsid w:val="00E256AD"/>
    <w:rsid w:val="00FD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D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E"/>
    <w:pPr>
      <w:tabs>
        <w:tab w:val="center" w:pos="4680"/>
        <w:tab w:val="right" w:pos="9360"/>
      </w:tabs>
    </w:pPr>
  </w:style>
  <w:style w:type="character" w:customStyle="1" w:styleId="HeaderChar">
    <w:name w:val="Header Char"/>
    <w:basedOn w:val="DefaultParagraphFont"/>
    <w:link w:val="Header"/>
    <w:uiPriority w:val="99"/>
    <w:rsid w:val="00FD578E"/>
  </w:style>
  <w:style w:type="paragraph" w:styleId="Footer">
    <w:name w:val="footer"/>
    <w:basedOn w:val="Normal"/>
    <w:link w:val="FooterChar"/>
    <w:uiPriority w:val="99"/>
    <w:unhideWhenUsed/>
    <w:rsid w:val="00FD578E"/>
    <w:pPr>
      <w:tabs>
        <w:tab w:val="center" w:pos="4680"/>
        <w:tab w:val="right" w:pos="9360"/>
      </w:tabs>
    </w:pPr>
  </w:style>
  <w:style w:type="character" w:customStyle="1" w:styleId="FooterChar">
    <w:name w:val="Footer Char"/>
    <w:basedOn w:val="DefaultParagraphFont"/>
    <w:link w:val="Footer"/>
    <w:uiPriority w:val="99"/>
    <w:rsid w:val="00FD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Mélisandre Shanks, Mlle</cp:lastModifiedBy>
  <cp:revision>2</cp:revision>
  <cp:lastPrinted>2019-01-22T21:12:00Z</cp:lastPrinted>
  <dcterms:created xsi:type="dcterms:W3CDTF">2019-04-10T19:38:00Z</dcterms:created>
  <dcterms:modified xsi:type="dcterms:W3CDTF">2019-04-10T19:38:00Z</dcterms:modified>
</cp:coreProperties>
</file>