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B45D7" w:rsidRDefault="00A4249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4195"/>
        <w:rPr>
          <w:b/>
          <w:color w:val="0000FF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Karolina Kremens, LL.M., Ph.D. Faculty of Law, Administration and Economics University of Wroclaw (Poland) email: </w:t>
      </w:r>
      <w:r>
        <w:rPr>
          <w:b/>
          <w:color w:val="0000FF"/>
          <w:sz w:val="24"/>
          <w:szCs w:val="24"/>
        </w:rPr>
        <w:t xml:space="preserve">karolina.kremens@uwr.edu.pl </w:t>
      </w:r>
      <w:r>
        <w:rPr>
          <w:b/>
          <w:color w:val="000000"/>
          <w:sz w:val="24"/>
          <w:szCs w:val="24"/>
        </w:rPr>
        <w:t xml:space="preserve">website: </w:t>
      </w:r>
      <w:r>
        <w:rPr>
          <w:b/>
          <w:color w:val="0000FF"/>
          <w:sz w:val="24"/>
          <w:szCs w:val="24"/>
        </w:rPr>
        <w:t xml:space="preserve">https://prawo.uni.wroc.pl/user/15630 </w:t>
      </w:r>
    </w:p>
    <w:p w14:paraId="00000002" w14:textId="0585CEF4" w:rsidR="005B45D7" w:rsidRDefault="00A42491" w:rsidP="00A424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864"/>
        <w:ind w:right="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Prosecutorial or Judicial Powers to Issue Search Warrants</w:t>
      </w:r>
    </w:p>
    <w:p w14:paraId="00000003" w14:textId="79610BBA" w:rsidR="005B45D7" w:rsidRDefault="00A42491" w:rsidP="00A424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172"/>
        <w:ind w:right="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During Criminal Investigation in Comparative Perspective</w:t>
      </w:r>
    </w:p>
    <w:p w14:paraId="0000000C" w14:textId="5A0968E9" w:rsidR="005B45D7" w:rsidRDefault="00A42491" w:rsidP="00A424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Significant importance must be attached to search as an example of investigative </w:t>
      </w:r>
      <w:r>
        <w:rPr>
          <w:color w:val="000000"/>
          <w:sz w:val="24"/>
          <w:szCs w:val="24"/>
        </w:rPr>
        <w:t xml:space="preserve">action aimed at discovery of evidence. Failures in conducting lawful and reasonable searches </w:t>
      </w:r>
      <w:r>
        <w:rPr>
          <w:color w:val="000000"/>
          <w:sz w:val="24"/>
          <w:szCs w:val="24"/>
        </w:rPr>
        <w:t xml:space="preserve">have direct impact on admissibility of evidence during trial. Nonetheless, search in its nature </w:t>
      </w:r>
      <w:r>
        <w:rPr>
          <w:color w:val="000000"/>
          <w:sz w:val="24"/>
          <w:szCs w:val="24"/>
        </w:rPr>
        <w:t xml:space="preserve">significantly interferes with rights of individual such as right to privacy, personal inviolability </w:t>
      </w:r>
      <w:r>
        <w:rPr>
          <w:color w:val="000000"/>
          <w:sz w:val="24"/>
          <w:szCs w:val="24"/>
        </w:rPr>
        <w:t>and inviolability of home. For that reason, legal provisio</w:t>
      </w:r>
      <w:r>
        <w:rPr>
          <w:color w:val="000000"/>
          <w:sz w:val="24"/>
          <w:szCs w:val="24"/>
        </w:rPr>
        <w:t xml:space="preserve">ns concerning search must be shaped </w:t>
      </w:r>
      <w:r>
        <w:rPr>
          <w:color w:val="000000"/>
          <w:sz w:val="24"/>
          <w:szCs w:val="24"/>
        </w:rPr>
        <w:t xml:space="preserve">in a way that will reconcile effectiveness of investigation and adequate protection against </w:t>
      </w:r>
      <w:r>
        <w:rPr>
          <w:color w:val="000000"/>
          <w:sz w:val="24"/>
          <w:szCs w:val="24"/>
        </w:rPr>
        <w:t xml:space="preserve">unreasonable searches and unlawful interference with individual’s rights and freedoms to that </w:t>
      </w:r>
      <w:r>
        <w:rPr>
          <w:color w:val="000000"/>
          <w:sz w:val="24"/>
          <w:szCs w:val="24"/>
        </w:rPr>
        <w:t>matter. One of such regulations</w:t>
      </w:r>
      <w:r>
        <w:rPr>
          <w:color w:val="000000"/>
          <w:sz w:val="24"/>
          <w:szCs w:val="24"/>
        </w:rPr>
        <w:t xml:space="preserve"> is a question of legal authority empowered to order searches </w:t>
      </w:r>
      <w:r>
        <w:rPr>
          <w:color w:val="000000"/>
          <w:sz w:val="24"/>
          <w:szCs w:val="24"/>
        </w:rPr>
        <w:t xml:space="preserve">that will successfully safeguard rights of individual. </w:t>
      </w:r>
    </w:p>
    <w:p w14:paraId="00000013" w14:textId="4DCB8243" w:rsidR="005B45D7" w:rsidRDefault="00A42491" w:rsidP="00A424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is almost unquestionable rule in common law countries that issuing search warrants </w:t>
      </w:r>
      <w:r>
        <w:rPr>
          <w:color w:val="000000"/>
          <w:sz w:val="24"/>
          <w:szCs w:val="24"/>
        </w:rPr>
        <w:t xml:space="preserve">remains exclusively in hands of the judge (magistrate). Despite the quite common practice of </w:t>
      </w:r>
      <w:r>
        <w:rPr>
          <w:color w:val="000000"/>
          <w:sz w:val="24"/>
          <w:szCs w:val="24"/>
        </w:rPr>
        <w:t xml:space="preserve">conducting searches without a warrant by police, if the search warrant must be issued it has to </w:t>
      </w:r>
      <w:r>
        <w:rPr>
          <w:color w:val="000000"/>
          <w:sz w:val="24"/>
          <w:szCs w:val="24"/>
        </w:rPr>
        <w:t xml:space="preserve">be done by the proper judicial official. This is based on a premise that only the detached </w:t>
      </w:r>
      <w:r>
        <w:rPr>
          <w:color w:val="000000"/>
          <w:sz w:val="24"/>
          <w:szCs w:val="24"/>
        </w:rPr>
        <w:t xml:space="preserve">scrutiny of a neutral magistrate is a more reliable safeguard against improper searches than </w:t>
      </w:r>
      <w:r>
        <w:rPr>
          <w:color w:val="000000"/>
          <w:sz w:val="24"/>
          <w:szCs w:val="24"/>
        </w:rPr>
        <w:t xml:space="preserve">the hurried judgment of a law enforcement officer engaged in criminal </w:t>
      </w:r>
      <w:r>
        <w:rPr>
          <w:color w:val="000000"/>
          <w:sz w:val="24"/>
          <w:szCs w:val="24"/>
        </w:rPr>
        <w:t xml:space="preserve">investigation (see </w:t>
      </w:r>
      <w:r>
        <w:rPr>
          <w:i/>
          <w:color w:val="000000"/>
          <w:sz w:val="24"/>
          <w:szCs w:val="24"/>
        </w:rPr>
        <w:t>United States v. Chadwick</w:t>
      </w:r>
      <w:r>
        <w:rPr>
          <w:color w:val="000000"/>
          <w:sz w:val="24"/>
          <w:szCs w:val="24"/>
        </w:rPr>
        <w:t xml:space="preserve">). </w:t>
      </w:r>
    </w:p>
    <w:p w14:paraId="00000025" w14:textId="62E0075E" w:rsidR="005B45D7" w:rsidRPr="00A42491" w:rsidRDefault="00A42491" w:rsidP="00A424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However, what may seem as an undisputable imperative in one system, can be </w:t>
      </w:r>
      <w:r>
        <w:rPr>
          <w:color w:val="000000"/>
          <w:sz w:val="24"/>
          <w:szCs w:val="24"/>
        </w:rPr>
        <w:t xml:space="preserve">frequently questioned in another. Continental criminal procedure seems less coherent when it </w:t>
      </w:r>
      <w:r>
        <w:rPr>
          <w:color w:val="000000"/>
          <w:sz w:val="24"/>
          <w:szCs w:val="24"/>
        </w:rPr>
        <w:t xml:space="preserve">comes to this issue. Some Continental countries (Italy and Poland) accept the idea of </w:t>
      </w:r>
      <w:r>
        <w:rPr>
          <w:color w:val="000000"/>
          <w:sz w:val="24"/>
          <w:szCs w:val="24"/>
        </w:rPr>
        <w:t xml:space="preserve">prosecutor being exclusively responsible for issuing search warrants during criminal </w:t>
      </w:r>
      <w:r>
        <w:rPr>
          <w:color w:val="000000"/>
          <w:sz w:val="24"/>
          <w:szCs w:val="24"/>
        </w:rPr>
        <w:t xml:space="preserve">investigation. This is justified by a strong involvement of the prosecutor during that stage of </w:t>
      </w:r>
      <w:r>
        <w:rPr>
          <w:color w:val="000000"/>
          <w:sz w:val="24"/>
          <w:szCs w:val="24"/>
        </w:rPr>
        <w:t xml:space="preserve">criminal process in these countries. Surprisingly, it does not raise too many eyebrows, even </w:t>
      </w:r>
      <w:r>
        <w:rPr>
          <w:color w:val="000000"/>
          <w:sz w:val="24"/>
          <w:szCs w:val="24"/>
        </w:rPr>
        <w:t>though the neutrality of the prosecutor, supervising law enforcem</w:t>
      </w:r>
      <w:r>
        <w:rPr>
          <w:color w:val="000000"/>
          <w:sz w:val="24"/>
          <w:szCs w:val="24"/>
        </w:rPr>
        <w:t xml:space="preserve">ent officers while </w:t>
      </w:r>
      <w:r>
        <w:rPr>
          <w:color w:val="000000"/>
          <w:sz w:val="24"/>
          <w:szCs w:val="24"/>
        </w:rPr>
        <w:t xml:space="preserve">undertaking the decision to search, may be easily questioned. In Italy – the state that position </w:t>
      </w:r>
      <w:r>
        <w:rPr>
          <w:color w:val="000000"/>
          <w:sz w:val="24"/>
          <w:szCs w:val="24"/>
        </w:rPr>
        <w:t xml:space="preserve">prosecutors as equal to judges making them a part of judicial branch – this is overcome by the </w:t>
      </w:r>
      <w:r>
        <w:rPr>
          <w:color w:val="000000"/>
          <w:sz w:val="24"/>
          <w:szCs w:val="24"/>
        </w:rPr>
        <w:t xml:space="preserve">myth of an inherent independence of such authority, which allows prosecutors to make as </w:t>
      </w:r>
      <w:r>
        <w:rPr>
          <w:color w:val="000000"/>
          <w:sz w:val="24"/>
          <w:szCs w:val="24"/>
        </w:rPr>
        <w:t xml:space="preserve">neutral decision as judges would undertake. In Poland – country that rather leans toward </w:t>
      </w:r>
      <w:r>
        <w:rPr>
          <w:color w:val="000000"/>
          <w:sz w:val="24"/>
          <w:szCs w:val="24"/>
        </w:rPr>
        <w:t xml:space="preserve">associating prosecutor with executive branch – the law provides for judicial </w:t>
      </w:r>
      <w:r>
        <w:rPr>
          <w:color w:val="000000"/>
          <w:sz w:val="24"/>
          <w:szCs w:val="24"/>
        </w:rPr>
        <w:t xml:space="preserve">review upon </w:t>
      </w:r>
      <w:r>
        <w:rPr>
          <w:color w:val="000000"/>
          <w:sz w:val="24"/>
          <w:szCs w:val="24"/>
        </w:rPr>
        <w:t xml:space="preserve">individual’s request in accordance with ECHR case law (for lack of compliance with which </w:t>
      </w:r>
      <w:r>
        <w:rPr>
          <w:color w:val="000000"/>
          <w:sz w:val="24"/>
          <w:szCs w:val="24"/>
        </w:rPr>
        <w:t xml:space="preserve">Italy has been criticized by the ECHR – see </w:t>
      </w:r>
      <w:proofErr w:type="spellStart"/>
      <w:r>
        <w:rPr>
          <w:i/>
          <w:color w:val="000000"/>
          <w:sz w:val="24"/>
          <w:szCs w:val="24"/>
        </w:rPr>
        <w:t>Brazzi</w:t>
      </w:r>
      <w:proofErr w:type="spellEnd"/>
      <w:r>
        <w:rPr>
          <w:i/>
          <w:color w:val="000000"/>
          <w:sz w:val="24"/>
          <w:szCs w:val="24"/>
        </w:rPr>
        <w:t xml:space="preserve"> v. Italy</w:t>
      </w:r>
      <w:r>
        <w:rPr>
          <w:color w:val="000000"/>
          <w:sz w:val="24"/>
          <w:szCs w:val="24"/>
        </w:rPr>
        <w:t xml:space="preserve">). At the same time Germany – state </w:t>
      </w:r>
      <w:r>
        <w:rPr>
          <w:color w:val="000000"/>
          <w:sz w:val="24"/>
          <w:szCs w:val="24"/>
        </w:rPr>
        <w:t xml:space="preserve">that appears as the most traditional Continental country </w:t>
      </w:r>
      <w:r>
        <w:rPr>
          <w:color w:val="000000"/>
          <w:sz w:val="24"/>
          <w:szCs w:val="24"/>
        </w:rPr>
        <w:t xml:space="preserve">and that has prosecutor similarly </w:t>
      </w:r>
      <w:r>
        <w:rPr>
          <w:color w:val="000000"/>
          <w:sz w:val="24"/>
          <w:szCs w:val="24"/>
        </w:rPr>
        <w:t xml:space="preserve">positioned in charge of criminal investigation – provides for different resolution by which </w:t>
      </w:r>
      <w:r>
        <w:rPr>
          <w:color w:val="000000"/>
          <w:sz w:val="24"/>
          <w:szCs w:val="24"/>
        </w:rPr>
        <w:t>search warrants are exclusively issued by judges (</w:t>
      </w:r>
      <w:proofErr w:type="spellStart"/>
      <w:r>
        <w:rPr>
          <w:i/>
          <w:color w:val="333333"/>
          <w:sz w:val="24"/>
          <w:szCs w:val="24"/>
        </w:rPr>
        <w:t>Ermittlungsdurchsuchung</w:t>
      </w:r>
      <w:proofErr w:type="spellEnd"/>
      <w:r>
        <w:rPr>
          <w:color w:val="333333"/>
          <w:sz w:val="24"/>
          <w:szCs w:val="24"/>
        </w:rPr>
        <w:t xml:space="preserve">). This shows the </w:t>
      </w:r>
      <w:r>
        <w:rPr>
          <w:color w:val="333333"/>
          <w:sz w:val="24"/>
          <w:szCs w:val="24"/>
        </w:rPr>
        <w:t xml:space="preserve">lack of coherence and calls for identification of reasons standing behind such diversity. </w:t>
      </w:r>
    </w:p>
    <w:p w14:paraId="0000002F" w14:textId="117B87DB" w:rsidR="005B45D7" w:rsidRPr="00A42491" w:rsidRDefault="00A42491" w:rsidP="00A424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1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In practice however, majority of searches happen without a warrant upon immediate </w:t>
      </w:r>
      <w:r>
        <w:rPr>
          <w:color w:val="333333"/>
          <w:sz w:val="24"/>
          <w:szCs w:val="24"/>
        </w:rPr>
        <w:t>decision of the competent police officer (in case of Germany also prosecutor). For</w:t>
      </w:r>
      <w:r>
        <w:rPr>
          <w:color w:val="333333"/>
          <w:sz w:val="24"/>
          <w:szCs w:val="24"/>
        </w:rPr>
        <w:t xml:space="preserve"> such case, </w:t>
      </w:r>
      <w:r>
        <w:rPr>
          <w:color w:val="333333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he Continental system provides some additional safeguards that are unknown to common law </w:t>
      </w:r>
      <w:r>
        <w:rPr>
          <w:color w:val="000000"/>
          <w:sz w:val="24"/>
          <w:szCs w:val="24"/>
        </w:rPr>
        <w:t xml:space="preserve">system. In every case the prosecutor must subsequently confirm conduct of such warrantless </w:t>
      </w:r>
      <w:r>
        <w:rPr>
          <w:color w:val="000000"/>
          <w:sz w:val="24"/>
          <w:szCs w:val="24"/>
        </w:rPr>
        <w:t xml:space="preserve">searches (Italy, Poland) or such search may be controlled by the power of judicial review </w:t>
      </w:r>
      <w:r>
        <w:rPr>
          <w:color w:val="000000"/>
          <w:sz w:val="24"/>
          <w:szCs w:val="24"/>
        </w:rPr>
        <w:t xml:space="preserve">upon individual’s request (Germany) while the common law system (US) does not provide </w:t>
      </w:r>
      <w:r>
        <w:rPr>
          <w:color w:val="000000"/>
          <w:sz w:val="24"/>
          <w:szCs w:val="24"/>
        </w:rPr>
        <w:t>similar protection, unless the evidence seized during a search is to be used i</w:t>
      </w:r>
      <w:r>
        <w:rPr>
          <w:color w:val="000000"/>
          <w:sz w:val="24"/>
          <w:szCs w:val="24"/>
        </w:rPr>
        <w:t xml:space="preserve">n a trial. This </w:t>
      </w:r>
      <w:r>
        <w:rPr>
          <w:color w:val="000000"/>
          <w:sz w:val="24"/>
          <w:szCs w:val="24"/>
        </w:rPr>
        <w:t xml:space="preserve">means that in every case in Continental system, at least in theory, a person that questions </w:t>
      </w:r>
      <w:r>
        <w:rPr>
          <w:color w:val="000000"/>
          <w:sz w:val="24"/>
          <w:szCs w:val="24"/>
        </w:rPr>
        <w:t xml:space="preserve">legality and proportionality of warrantless search conducted at the early stage of criminal </w:t>
      </w:r>
      <w:r>
        <w:rPr>
          <w:color w:val="000000"/>
          <w:sz w:val="24"/>
          <w:szCs w:val="24"/>
        </w:rPr>
        <w:t>process has a right to a second look at the reasons t</w:t>
      </w:r>
      <w:r>
        <w:rPr>
          <w:color w:val="000000"/>
          <w:sz w:val="24"/>
          <w:szCs w:val="24"/>
        </w:rPr>
        <w:t xml:space="preserve">hat provoked the search. </w:t>
      </w:r>
    </w:p>
    <w:p w14:paraId="00000032" w14:textId="63A1280F" w:rsidR="005B45D7" w:rsidRPr="00A42491" w:rsidRDefault="00A42491" w:rsidP="00A424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goal of this study is to provide the descriptive analysis of distinct resolutions to </w:t>
      </w:r>
      <w:r>
        <w:rPr>
          <w:color w:val="000000"/>
          <w:sz w:val="24"/>
          <w:szCs w:val="24"/>
        </w:rPr>
        <w:t xml:space="preserve">the problem of authority responsible for issuing search warrants during criminal investigation </w:t>
      </w:r>
      <w:r>
        <w:rPr>
          <w:color w:val="000000"/>
          <w:sz w:val="24"/>
          <w:szCs w:val="24"/>
        </w:rPr>
        <w:t xml:space="preserve">as they appear </w:t>
      </w:r>
      <w:r>
        <w:rPr>
          <w:color w:val="333333"/>
          <w:sz w:val="24"/>
          <w:szCs w:val="24"/>
        </w:rPr>
        <w:t>in the l</w:t>
      </w:r>
      <w:bookmarkStart w:id="0" w:name="_GoBack"/>
      <w:bookmarkEnd w:id="0"/>
      <w:r>
        <w:rPr>
          <w:color w:val="333333"/>
          <w:sz w:val="24"/>
          <w:szCs w:val="24"/>
        </w:rPr>
        <w:t xml:space="preserve">aw of selected Continental and common law countries (Part I). </w:t>
      </w:r>
    </w:p>
    <w:p w14:paraId="00000035" w14:textId="3B1AD161" w:rsidR="005B45D7" w:rsidRPr="00A42491" w:rsidRDefault="00A42491" w:rsidP="00A424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4" w:right="-19"/>
        <w:jc w:val="both"/>
        <w:rPr>
          <w:sz w:val="24"/>
          <w:szCs w:val="24"/>
        </w:rPr>
      </w:pPr>
      <w:r w:rsidRPr="00A42491">
        <w:rPr>
          <w:sz w:val="24"/>
          <w:szCs w:val="24"/>
        </w:rPr>
        <w:t xml:space="preserve">Accordingly, the summary of the major similarities and differences of these systems will be </w:t>
      </w:r>
      <w:r w:rsidRPr="00A42491">
        <w:rPr>
          <w:sz w:val="24"/>
          <w:szCs w:val="24"/>
        </w:rPr>
        <w:t xml:space="preserve">made with an aim to identify these resolutions that provide the best protection for a person </w:t>
      </w:r>
      <w:r w:rsidRPr="00A42491">
        <w:rPr>
          <w:sz w:val="24"/>
          <w:szCs w:val="24"/>
        </w:rPr>
        <w:t xml:space="preserve">against unreasonable and disproportionate searches (Part II). </w:t>
      </w:r>
    </w:p>
    <w:sectPr w:rsidR="005B45D7" w:rsidRPr="00A4249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D7"/>
    <w:rsid w:val="005B45D7"/>
    <w:rsid w:val="00A4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33884-38FB-4746-ACDE-C3AB7E1E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Mélisandre Shanks, Mlle</dc:creator>
  <cp:lastModifiedBy>Mélisandre Shanks, Mlle</cp:lastModifiedBy>
  <cp:revision>2</cp:revision>
  <dcterms:created xsi:type="dcterms:W3CDTF">2019-04-10T18:38:00Z</dcterms:created>
  <dcterms:modified xsi:type="dcterms:W3CDTF">2019-04-10T18:38:00Z</dcterms:modified>
</cp:coreProperties>
</file>