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47B16" w:rsidRDefault="000D48B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2280"/>
        <w:rPr>
          <w:rFonts w:ascii="Times New Roman" w:eastAsia="Times New Roman" w:hAnsi="Times New Roman" w:cs="Times New Roman"/>
          <w:color w:val="B2B2B2"/>
          <w:sz w:val="24"/>
          <w:szCs w:val="24"/>
        </w:rPr>
      </w:pPr>
      <w:r>
        <w:rPr>
          <w:rFonts w:ascii="Times New Roman" w:eastAsia="Times New Roman" w:hAnsi="Times New Roman" w:cs="Times New Roman"/>
          <w:color w:val="B2B2B2"/>
          <w:sz w:val="24"/>
          <w:szCs w:val="24"/>
        </w:rPr>
        <w:t xml:space="preserve">Konstanze von </w:t>
      </w:r>
      <w:proofErr w:type="spellStart"/>
      <w:r>
        <w:rPr>
          <w:rFonts w:ascii="Times New Roman" w:eastAsia="Times New Roman" w:hAnsi="Times New Roman" w:cs="Times New Roman"/>
          <w:color w:val="B2B2B2"/>
          <w:sz w:val="24"/>
          <w:szCs w:val="24"/>
        </w:rPr>
        <w:t>Schütz</w:t>
      </w:r>
      <w:proofErr w:type="spellEnd"/>
      <w:r>
        <w:rPr>
          <w:rFonts w:ascii="Times New Roman" w:eastAsia="Times New Roman" w:hAnsi="Times New Roman" w:cs="Times New Roman"/>
          <w:color w:val="B2B2B2"/>
          <w:sz w:val="24"/>
          <w:szCs w:val="24"/>
        </w:rPr>
        <w:t xml:space="preserve">, LL.B. (BLS), LL.M. (U of T), SJD </w:t>
      </w:r>
      <w:proofErr w:type="spellStart"/>
      <w:r>
        <w:rPr>
          <w:rFonts w:ascii="Times New Roman" w:eastAsia="Times New Roman" w:hAnsi="Times New Roman" w:cs="Times New Roman"/>
          <w:color w:val="B2B2B2"/>
          <w:sz w:val="24"/>
          <w:szCs w:val="24"/>
        </w:rPr>
        <w:t>cand</w:t>
      </w:r>
      <w:proofErr w:type="spellEnd"/>
      <w:r>
        <w:rPr>
          <w:rFonts w:ascii="Times New Roman" w:eastAsia="Times New Roman" w:hAnsi="Times New Roman" w:cs="Times New Roman"/>
          <w:color w:val="B2B2B2"/>
          <w:sz w:val="24"/>
          <w:szCs w:val="24"/>
        </w:rPr>
        <w:t xml:space="preserve">. (U of T) konstanze.vonschuetz@mail.utoronto.ca </w:t>
      </w:r>
    </w:p>
    <w:p w14:paraId="00000002" w14:textId="77777777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HE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i/>
          <w:color w:val="00000A"/>
          <w:sz w:val="19"/>
          <w:szCs w:val="19"/>
        </w:rPr>
        <w:t xml:space="preserve">ORROR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i/>
          <w:color w:val="00000A"/>
          <w:sz w:val="19"/>
          <w:szCs w:val="19"/>
        </w:rPr>
        <w:t xml:space="preserve">ACUI 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OF THE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OMMON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AW OF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ROPERTY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– </w:t>
      </w:r>
    </w:p>
    <w:p w14:paraId="00000003" w14:textId="77777777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N THE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MPOSSIBILITY OF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NILATERAL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A"/>
          <w:sz w:val="19"/>
          <w:szCs w:val="19"/>
        </w:rPr>
        <w:t xml:space="preserve">BANDONMENT </w:t>
      </w:r>
    </w:p>
    <w:p w14:paraId="00000004" w14:textId="77777777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4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Keywords: Abandonment – Ownership – Common Law – Civil Law </w:t>
      </w:r>
    </w:p>
    <w:p w14:paraId="0000000D" w14:textId="6A70F066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It is one of the basic features of ownership rights that the authority they give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to persons over the things they own is of potentially infinite duration. By virtue of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being its owner, each thing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that I acquire can be mine forever. Although the potentially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unlimited duration of ownership rights holds true in theory, in many people’s lived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experience the possibility to bring ownership rights to an end can be of equal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significance; it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be mine forever but does it also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have to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? Abandonment, i.e.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unilateral divestment of someone from their ownership rights by “stepping back” from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what they own that terminates ownership, seems to intuitively offer itself as one way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to potentially end all proprietary ties one has with a thing. </w:t>
      </w:r>
    </w:p>
    <w:p w14:paraId="00000015" w14:textId="74C2501D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Both judges as well as academics have however frequently pointed to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impossibility of unilateral abandonment in the common law of property, and this not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only in situations in which abandonment would allow to escape responsibility for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dangerous or harmful things. Rather, the refusal to let owners simply “step back” from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their things is frequently explained by reference to a reluctance, or even a horror of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unpossessed and/or unowned things that is said to inform the common law of property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(cf. for instance Blackstone in his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Commentaries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). I refer to this feature as the law of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property’s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horror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vacui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</w:p>
    <w:p w14:paraId="0000001E" w14:textId="101D1FEB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 a result of the abhorrence of (proprietary) voids, many a judge’s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reasonings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and academic scholarship conclude, the common law renders it impossible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to unilaterally abandon and rather ties owners to their things once acquired. It is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suggested that there can, if at all, only be conceptual room for “bilateral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abandonment”. Such statements are puzzling. They appear to too easily collapse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idea of abandonment into a transfer of ownership rights. Furthermore, the seemingly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resulting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divergence in the treatment of unilateral acquisition as generally permissible,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and of unilateral abandonment as ostensibly impossible calls for further reflection – is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abandonment maybe more than the mere mirror image of acquisition? </w:t>
      </w:r>
    </w:p>
    <w:p w14:paraId="00000025" w14:textId="21CC7943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 addition, a comparison with the property law of some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non common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law-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jurisdictions highlights that the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horror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vacui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indeed appears to be a feature unique to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common law of property. In, for example, the French and German legal traditions,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unilateral abandonment does not seem to cause the same worries, but is rather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recognized without much complication and generally establishes the public authority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 “owner of last resort” for abandoned things. </w:t>
      </w:r>
    </w:p>
    <w:p w14:paraId="0000002E" w14:textId="44C10EF2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Starting from these observations, the paper investigates possibly viable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explanations for the common law’s urge that everything be owned or at least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possessed, and assesses how this plays out in the context of unilateral abandonment. I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begin by briefly laying out the treatment of unilateral abandonment by common law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courts as well as by academic scholarship to carve out the puzzles of “bilateral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abandonment” and of the unequal treatment of acquisition and abandonment.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view of abandonment in French, Québec and German law as examples of civilian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legal traditions will then be used to highlight the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horror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vacui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 a feature specific to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common law of property. </w:t>
      </w:r>
    </w:p>
    <w:p w14:paraId="0000003E" w14:textId="05EFFD08" w:rsidR="00847B16" w:rsidRDefault="000D48B0" w:rsidP="000D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right="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paper builds on these observation to canvass possible explanations for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impossibility of unilateral abandonment in the common law. I argue that the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horror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vacui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is grounded in a specific view of the relations between owners and public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authorities, and that it therefore expresses a specific and arguably unique conception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of the normative significance of ownership. For that purpose, I provide a concise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historical account of the common law of property that sheds light on the estates-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system and specifically on the role of the Crown herein. I contrast this with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normative significance of ownership underlying the treatment of unilateral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abandonment in civilian jurisdictions. In doing so, I attempt to show how the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horror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reflecti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ve of a specific conception of these relations in the common law that can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indeed explain a restrictive treatment of unilateral abandonment, but I equally explore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tensions of this position with the view of the role of owners’ underlying other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aspects of property law. I identify the outlines of shifting views on the position of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owners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vis-à-vis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public authorities, and thus of what appears to be an altered place of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owners in the legal and political order, that a variety of more recent developments in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common law of property attest to. </w:t>
      </w:r>
    </w:p>
    <w:sectPr w:rsidR="00847B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16"/>
    <w:rsid w:val="000D48B0"/>
    <w:rsid w:val="008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C3863-ACED-4EC2-AEB5-9E4FE21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2019-04-10T20:33:00Z</dcterms:created>
  <dcterms:modified xsi:type="dcterms:W3CDTF">2019-04-10T20:33:00Z</dcterms:modified>
</cp:coreProperties>
</file>