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7A5E30" w:rsidRDefault="006B716B">
      <w:pPr>
        <w:widowControl w:val="0"/>
        <w:pBdr>
          <w:top w:val="nil"/>
          <w:left w:val="nil"/>
          <w:bottom w:val="nil"/>
          <w:right w:val="nil"/>
          <w:between w:val="nil"/>
        </w:pBdr>
        <w:ind w:left="360" w:right="364"/>
        <w:rPr>
          <w:color w:val="000000"/>
          <w:sz w:val="31"/>
          <w:szCs w:val="31"/>
        </w:rPr>
      </w:pPr>
      <w:r>
        <w:rPr>
          <w:color w:val="000000"/>
          <w:sz w:val="31"/>
          <w:szCs w:val="31"/>
        </w:rPr>
        <w:t xml:space="preserve">Comparative insights into maritime arbitration: The case of international contracts for the carriage of goods by sea </w:t>
      </w:r>
    </w:p>
    <w:p w14:paraId="00000002" w14:textId="29DBE0FD" w:rsidR="007A5E30" w:rsidRDefault="006B716B" w:rsidP="006B716B">
      <w:pPr>
        <w:widowControl w:val="0"/>
        <w:pBdr>
          <w:top w:val="nil"/>
          <w:left w:val="nil"/>
          <w:bottom w:val="nil"/>
          <w:right w:val="nil"/>
          <w:between w:val="nil"/>
        </w:pBdr>
        <w:spacing w:before="432"/>
        <w:ind w:right="4"/>
        <w:rPr>
          <w:color w:val="000000"/>
          <w:sz w:val="23"/>
          <w:szCs w:val="23"/>
          <w:vertAlign w:val="superscript"/>
        </w:rPr>
      </w:pPr>
      <w:r>
        <w:rPr>
          <w:color w:val="000000"/>
          <w:sz w:val="21"/>
          <w:szCs w:val="21"/>
        </w:rPr>
        <w:t>Eva Litina</w:t>
      </w:r>
      <w:r>
        <w:rPr>
          <w:rStyle w:val="FootnoteReference"/>
          <w:color w:val="000000"/>
          <w:sz w:val="21"/>
          <w:szCs w:val="21"/>
        </w:rPr>
        <w:footnoteReference w:id="1"/>
      </w:r>
    </w:p>
    <w:p w14:paraId="00000003" w14:textId="77777777" w:rsidR="007A5E30" w:rsidRDefault="006B716B" w:rsidP="006B716B">
      <w:pPr>
        <w:widowControl w:val="0"/>
        <w:pBdr>
          <w:top w:val="nil"/>
          <w:left w:val="nil"/>
          <w:bottom w:val="nil"/>
          <w:right w:val="nil"/>
          <w:between w:val="nil"/>
        </w:pBdr>
        <w:spacing w:before="288"/>
        <w:ind w:right="4"/>
        <w:rPr>
          <w:color w:val="000000"/>
          <w:sz w:val="21"/>
          <w:szCs w:val="21"/>
        </w:rPr>
      </w:pPr>
      <w:r>
        <w:rPr>
          <w:b/>
          <w:color w:val="000000"/>
          <w:sz w:val="21"/>
          <w:szCs w:val="21"/>
        </w:rPr>
        <w:t>Keywords</w:t>
      </w:r>
      <w:r>
        <w:rPr>
          <w:color w:val="000000"/>
          <w:sz w:val="21"/>
          <w:szCs w:val="21"/>
        </w:rPr>
        <w:t xml:space="preserve">: Maritime Arbitration, Carriage of goods by sea, </w:t>
      </w:r>
      <w:proofErr w:type="spellStart"/>
      <w:r>
        <w:rPr>
          <w:color w:val="000000"/>
          <w:sz w:val="21"/>
          <w:szCs w:val="21"/>
        </w:rPr>
        <w:t>Charterparties</w:t>
      </w:r>
      <w:proofErr w:type="spellEnd"/>
      <w:r>
        <w:rPr>
          <w:color w:val="000000"/>
          <w:sz w:val="21"/>
          <w:szCs w:val="21"/>
        </w:rPr>
        <w:t xml:space="preserve">, Judicial review of arbitration awards </w:t>
      </w:r>
    </w:p>
    <w:p w14:paraId="00000004" w14:textId="499D12F5" w:rsidR="007A5E30" w:rsidRDefault="006B716B" w:rsidP="006B716B">
      <w:pPr>
        <w:widowControl w:val="0"/>
        <w:pBdr>
          <w:top w:val="nil"/>
          <w:left w:val="nil"/>
          <w:bottom w:val="nil"/>
          <w:right w:val="nil"/>
          <w:between w:val="nil"/>
        </w:pBdr>
        <w:spacing w:before="350"/>
        <w:ind w:right="4" w:firstLine="360"/>
        <w:jc w:val="both"/>
        <w:rPr>
          <w:color w:val="000000"/>
          <w:sz w:val="26"/>
          <w:szCs w:val="26"/>
          <w:vertAlign w:val="superscript"/>
        </w:rPr>
      </w:pPr>
      <w:r>
        <w:rPr>
          <w:color w:val="000000"/>
          <w:sz w:val="24"/>
          <w:szCs w:val="24"/>
        </w:rPr>
        <w:t>The international shipping industry has traditionally resorted to arbitration for dispute resolution. The agreement to refer disputes to arbitration is usually contained in standard-form contracts widely used in the shipping industry</w:t>
      </w:r>
      <w:r>
        <w:rPr>
          <w:rStyle w:val="FootnoteReference"/>
          <w:color w:val="000000"/>
          <w:sz w:val="24"/>
          <w:szCs w:val="24"/>
        </w:rPr>
        <w:footnoteReference w:id="2"/>
      </w:r>
      <w:r>
        <w:rPr>
          <w:color w:val="000000"/>
          <w:sz w:val="24"/>
          <w:szCs w:val="24"/>
        </w:rPr>
        <w:t>.</w:t>
      </w:r>
      <w:r>
        <w:rPr>
          <w:color w:val="000000"/>
          <w:sz w:val="26"/>
          <w:szCs w:val="26"/>
          <w:vertAlign w:val="superscript"/>
        </w:rPr>
        <w:t xml:space="preserve"> </w:t>
      </w:r>
      <w:r>
        <w:rPr>
          <w:color w:val="000000"/>
          <w:sz w:val="24"/>
          <w:szCs w:val="24"/>
        </w:rPr>
        <w:t>The majority of maritime contracts that regulate the most important moments of maritime life ranging from the birth to the demise of the vessel, namely shipbuilding contracts, contracts for the carriage of goods by sea, maritime insurance and salvage, prov</w:t>
      </w:r>
      <w:r>
        <w:rPr>
          <w:color w:val="000000"/>
          <w:sz w:val="24"/>
          <w:szCs w:val="24"/>
        </w:rPr>
        <w:t>ide for recourse to arbitration</w:t>
      </w:r>
      <w:r>
        <w:rPr>
          <w:rStyle w:val="FootnoteReference"/>
          <w:color w:val="000000"/>
          <w:sz w:val="24"/>
          <w:szCs w:val="24"/>
        </w:rPr>
        <w:footnoteReference w:id="3"/>
      </w:r>
      <w:r>
        <w:rPr>
          <w:color w:val="000000"/>
          <w:sz w:val="24"/>
          <w:szCs w:val="24"/>
        </w:rPr>
        <w:t>.</w:t>
      </w:r>
      <w:r>
        <w:rPr>
          <w:color w:val="000000"/>
          <w:sz w:val="26"/>
          <w:szCs w:val="26"/>
          <w:vertAlign w:val="superscript"/>
        </w:rPr>
        <w:t xml:space="preserve"> </w:t>
      </w:r>
    </w:p>
    <w:p w14:paraId="00000005" w14:textId="6598C66D" w:rsidR="007A5E30" w:rsidRDefault="006B716B" w:rsidP="006B716B">
      <w:pPr>
        <w:widowControl w:val="0"/>
        <w:pBdr>
          <w:top w:val="nil"/>
          <w:left w:val="nil"/>
          <w:bottom w:val="nil"/>
          <w:right w:val="nil"/>
          <w:between w:val="nil"/>
        </w:pBdr>
        <w:spacing w:before="76"/>
        <w:ind w:right="4" w:firstLine="360"/>
        <w:jc w:val="both"/>
        <w:rPr>
          <w:color w:val="000000"/>
          <w:sz w:val="26"/>
          <w:szCs w:val="26"/>
          <w:vertAlign w:val="superscript"/>
        </w:rPr>
      </w:pPr>
      <w:r>
        <w:rPr>
          <w:color w:val="000000"/>
          <w:sz w:val="24"/>
          <w:szCs w:val="24"/>
        </w:rPr>
        <w:t>Contracts for the carriage of goods by sea usually involve disputes of substantial sums between experienced parties driven by the rule to keep the ships sailing or they do not make money</w:t>
      </w:r>
      <w:r>
        <w:rPr>
          <w:rStyle w:val="FootnoteReference"/>
          <w:color w:val="000000"/>
          <w:sz w:val="24"/>
          <w:szCs w:val="24"/>
        </w:rPr>
        <w:footnoteReference w:id="4"/>
      </w:r>
      <w:r>
        <w:rPr>
          <w:color w:val="000000"/>
          <w:sz w:val="24"/>
          <w:szCs w:val="24"/>
        </w:rPr>
        <w:t>.</w:t>
      </w:r>
      <w:r>
        <w:rPr>
          <w:color w:val="000000"/>
          <w:sz w:val="26"/>
          <w:szCs w:val="26"/>
          <w:vertAlign w:val="superscript"/>
        </w:rPr>
        <w:t xml:space="preserve"> </w:t>
      </w:r>
      <w:r>
        <w:rPr>
          <w:color w:val="000000"/>
          <w:sz w:val="24"/>
          <w:szCs w:val="24"/>
        </w:rPr>
        <w:t xml:space="preserve">Important procedural advantages </w:t>
      </w:r>
      <w:r>
        <w:rPr>
          <w:color w:val="000000"/>
          <w:sz w:val="24"/>
          <w:szCs w:val="24"/>
        </w:rPr>
        <w:t>motivate their choice for arbitration: the global enforceability of arbitral awards, the neutrality of the forum, the ability to choose arbitrators specialized in shipping, the speed, cost and confidentiality of the proceedings</w:t>
      </w:r>
      <w:r>
        <w:rPr>
          <w:rStyle w:val="FootnoteReference"/>
          <w:color w:val="000000"/>
          <w:sz w:val="24"/>
          <w:szCs w:val="24"/>
        </w:rPr>
        <w:footnoteReference w:id="5"/>
      </w:r>
      <w:r>
        <w:rPr>
          <w:color w:val="000000"/>
          <w:sz w:val="24"/>
          <w:szCs w:val="24"/>
        </w:rPr>
        <w:t>.</w:t>
      </w:r>
      <w:r>
        <w:rPr>
          <w:color w:val="000000"/>
          <w:sz w:val="26"/>
          <w:szCs w:val="26"/>
          <w:vertAlign w:val="superscript"/>
        </w:rPr>
        <w:t xml:space="preserve"> </w:t>
      </w:r>
    </w:p>
    <w:p w14:paraId="00000006" w14:textId="25823183" w:rsidR="007A5E30" w:rsidRDefault="006B716B" w:rsidP="006B716B">
      <w:pPr>
        <w:widowControl w:val="0"/>
        <w:pBdr>
          <w:top w:val="nil"/>
          <w:left w:val="nil"/>
          <w:bottom w:val="nil"/>
          <w:right w:val="nil"/>
          <w:between w:val="nil"/>
        </w:pBdr>
        <w:spacing w:before="76"/>
        <w:ind w:right="4" w:firstLine="360"/>
        <w:jc w:val="both"/>
        <w:rPr>
          <w:color w:val="000000"/>
          <w:sz w:val="26"/>
          <w:szCs w:val="26"/>
          <w:vertAlign w:val="superscript"/>
        </w:rPr>
      </w:pPr>
      <w:r>
        <w:rPr>
          <w:color w:val="000000"/>
          <w:sz w:val="24"/>
          <w:szCs w:val="24"/>
        </w:rPr>
        <w:t>Furthermore, the shipping</w:t>
      </w:r>
      <w:r>
        <w:rPr>
          <w:color w:val="000000"/>
          <w:sz w:val="24"/>
          <w:szCs w:val="24"/>
        </w:rPr>
        <w:t xml:space="preserve"> sector is one of the most important supporters of ad hoc arbitration</w:t>
      </w:r>
      <w:r>
        <w:rPr>
          <w:rStyle w:val="FootnoteReference"/>
          <w:color w:val="000000"/>
          <w:sz w:val="24"/>
          <w:szCs w:val="24"/>
        </w:rPr>
        <w:footnoteReference w:id="6"/>
      </w:r>
      <w:r>
        <w:rPr>
          <w:color w:val="000000"/>
          <w:sz w:val="24"/>
          <w:szCs w:val="24"/>
        </w:rPr>
        <w:t>,</w:t>
      </w:r>
      <w:r>
        <w:rPr>
          <w:color w:val="000000"/>
          <w:sz w:val="26"/>
          <w:szCs w:val="26"/>
          <w:vertAlign w:val="superscript"/>
        </w:rPr>
        <w:t xml:space="preserve"> </w:t>
      </w:r>
      <w:proofErr w:type="spellStart"/>
      <w:r>
        <w:rPr>
          <w:color w:val="000000"/>
          <w:sz w:val="24"/>
          <w:szCs w:val="24"/>
        </w:rPr>
        <w:t>ie</w:t>
      </w:r>
      <w:proofErr w:type="spellEnd"/>
      <w:r>
        <w:rPr>
          <w:color w:val="000000"/>
          <w:sz w:val="24"/>
          <w:szCs w:val="24"/>
        </w:rPr>
        <w:t xml:space="preserve"> arbitration that is not conducted under the supervision of any institution</w:t>
      </w:r>
      <w:r>
        <w:rPr>
          <w:rStyle w:val="FootnoteReference"/>
          <w:color w:val="000000"/>
          <w:sz w:val="24"/>
          <w:szCs w:val="24"/>
        </w:rPr>
        <w:footnoteReference w:id="7"/>
      </w:r>
      <w:r>
        <w:rPr>
          <w:color w:val="000000"/>
          <w:sz w:val="24"/>
          <w:szCs w:val="24"/>
        </w:rPr>
        <w:t>.</w:t>
      </w:r>
      <w:r>
        <w:rPr>
          <w:color w:val="000000"/>
          <w:sz w:val="26"/>
          <w:szCs w:val="26"/>
          <w:vertAlign w:val="superscript"/>
        </w:rPr>
        <w:t xml:space="preserve"> </w:t>
      </w:r>
      <w:r>
        <w:rPr>
          <w:color w:val="000000"/>
          <w:sz w:val="24"/>
          <w:szCs w:val="24"/>
        </w:rPr>
        <w:t>The maritime industry regards highly the flexibility and increased privacy that ad hoc arbitration offer</w:t>
      </w:r>
      <w:r>
        <w:rPr>
          <w:color w:val="000000"/>
          <w:sz w:val="24"/>
          <w:szCs w:val="24"/>
        </w:rPr>
        <w:t>s. Given this strong preference for ad hoc arbitration, the most prominent maritime arbitration centers stress that they are not administering bodies</w:t>
      </w:r>
      <w:r>
        <w:rPr>
          <w:rStyle w:val="FootnoteReference"/>
          <w:color w:val="000000"/>
          <w:sz w:val="24"/>
          <w:szCs w:val="24"/>
        </w:rPr>
        <w:footnoteReference w:id="8"/>
      </w:r>
      <w:r>
        <w:rPr>
          <w:color w:val="000000"/>
          <w:sz w:val="24"/>
          <w:szCs w:val="24"/>
        </w:rPr>
        <w:t>.</w:t>
      </w:r>
      <w:r>
        <w:rPr>
          <w:color w:val="000000"/>
          <w:sz w:val="26"/>
          <w:szCs w:val="26"/>
          <w:vertAlign w:val="superscript"/>
        </w:rPr>
        <w:t xml:space="preserve"> </w:t>
      </w:r>
    </w:p>
    <w:p w14:paraId="00000008" w14:textId="3857123C" w:rsidR="007A5E30" w:rsidRDefault="006B716B" w:rsidP="006B716B">
      <w:pPr>
        <w:widowControl w:val="0"/>
        <w:pBdr>
          <w:top w:val="nil"/>
          <w:left w:val="nil"/>
          <w:bottom w:val="nil"/>
          <w:right w:val="nil"/>
          <w:between w:val="nil"/>
        </w:pBdr>
        <w:ind w:right="4" w:firstLine="360"/>
        <w:jc w:val="both"/>
        <w:rPr>
          <w:color w:val="000000"/>
          <w:sz w:val="26"/>
          <w:szCs w:val="26"/>
          <w:vertAlign w:val="superscript"/>
        </w:rPr>
      </w:pPr>
      <w:r>
        <w:rPr>
          <w:color w:val="000000"/>
          <w:sz w:val="24"/>
          <w:szCs w:val="24"/>
        </w:rPr>
        <w:t>Against this background, there are some inherent difficulties in the study of maritime arbitration: maritime arbitral proceedings are typically ad hoc, arbitral awards are not necessarily published</w:t>
      </w:r>
      <w:r>
        <w:rPr>
          <w:rStyle w:val="FootnoteReference"/>
          <w:color w:val="000000"/>
          <w:sz w:val="24"/>
          <w:szCs w:val="24"/>
        </w:rPr>
        <w:footnoteReference w:id="9"/>
      </w:r>
      <w:r>
        <w:rPr>
          <w:color w:val="000000"/>
          <w:sz w:val="26"/>
          <w:szCs w:val="26"/>
          <w:vertAlign w:val="superscript"/>
        </w:rPr>
        <w:t xml:space="preserve"> </w:t>
      </w:r>
      <w:r>
        <w:rPr>
          <w:color w:val="000000"/>
          <w:sz w:val="24"/>
          <w:szCs w:val="24"/>
        </w:rPr>
        <w:t>and many cases remain unreported. Thus, it comes as no surprise that there are no global statistics on the number of maritime arbitrations and there are no predetermined criteria on what should be counted</w:t>
      </w:r>
      <w:r>
        <w:rPr>
          <w:rStyle w:val="FootnoteReference"/>
          <w:color w:val="000000"/>
          <w:sz w:val="24"/>
          <w:szCs w:val="24"/>
        </w:rPr>
        <w:footnoteReference w:id="10"/>
      </w:r>
      <w:r>
        <w:rPr>
          <w:color w:val="000000"/>
          <w:sz w:val="24"/>
          <w:szCs w:val="24"/>
        </w:rPr>
        <w:t>.</w:t>
      </w:r>
      <w:r>
        <w:rPr>
          <w:color w:val="000000"/>
          <w:sz w:val="26"/>
          <w:szCs w:val="26"/>
          <w:vertAlign w:val="superscript"/>
        </w:rPr>
        <w:t xml:space="preserve"> </w:t>
      </w:r>
      <w:r>
        <w:rPr>
          <w:color w:val="000000"/>
          <w:sz w:val="24"/>
          <w:szCs w:val="24"/>
        </w:rPr>
        <w:t>All we know is some estimates on the appointments</w:t>
      </w:r>
      <w:r>
        <w:rPr>
          <w:color w:val="000000"/>
          <w:sz w:val="24"/>
          <w:szCs w:val="24"/>
        </w:rPr>
        <w:t xml:space="preserve"> and numbers of awards issued per year under the rules of each association. According to these estimates, London handles 75% of the world’s maritime arbitration work</w:t>
      </w:r>
      <w:r>
        <w:rPr>
          <w:rStyle w:val="FootnoteReference"/>
          <w:color w:val="000000"/>
          <w:sz w:val="24"/>
          <w:szCs w:val="24"/>
        </w:rPr>
        <w:footnoteReference w:id="11"/>
      </w:r>
      <w:r>
        <w:rPr>
          <w:color w:val="000000"/>
          <w:sz w:val="24"/>
          <w:szCs w:val="24"/>
        </w:rPr>
        <w:t>,</w:t>
      </w:r>
      <w:r>
        <w:rPr>
          <w:color w:val="000000"/>
          <w:sz w:val="26"/>
          <w:szCs w:val="26"/>
          <w:vertAlign w:val="superscript"/>
        </w:rPr>
        <w:t xml:space="preserve"> </w:t>
      </w:r>
      <w:r>
        <w:rPr>
          <w:color w:val="000000"/>
          <w:sz w:val="24"/>
          <w:szCs w:val="24"/>
        </w:rPr>
        <w:t>followed by New York</w:t>
      </w:r>
      <w:r>
        <w:rPr>
          <w:rStyle w:val="FootnoteReference"/>
          <w:color w:val="000000"/>
          <w:sz w:val="24"/>
          <w:szCs w:val="24"/>
        </w:rPr>
        <w:footnoteReference w:id="12"/>
      </w:r>
      <w:r>
        <w:rPr>
          <w:color w:val="000000"/>
          <w:sz w:val="24"/>
          <w:szCs w:val="24"/>
        </w:rPr>
        <w:t>,</w:t>
      </w:r>
      <w:r>
        <w:rPr>
          <w:color w:val="000000"/>
          <w:sz w:val="26"/>
          <w:szCs w:val="26"/>
          <w:vertAlign w:val="superscript"/>
        </w:rPr>
        <w:t xml:space="preserve"> </w:t>
      </w:r>
      <w:r>
        <w:rPr>
          <w:color w:val="000000"/>
          <w:sz w:val="24"/>
          <w:szCs w:val="24"/>
        </w:rPr>
        <w:t>while Singapore has recently gained prominence as a maritime ar</w:t>
      </w:r>
      <w:r>
        <w:rPr>
          <w:color w:val="000000"/>
          <w:sz w:val="24"/>
          <w:szCs w:val="24"/>
        </w:rPr>
        <w:t>bitration center</w:t>
      </w:r>
      <w:r>
        <w:rPr>
          <w:rStyle w:val="FootnoteReference"/>
          <w:color w:val="000000"/>
          <w:sz w:val="24"/>
          <w:szCs w:val="24"/>
        </w:rPr>
        <w:footnoteReference w:id="13"/>
      </w:r>
      <w:r>
        <w:rPr>
          <w:color w:val="000000"/>
          <w:sz w:val="24"/>
          <w:szCs w:val="24"/>
        </w:rPr>
        <w:t>.</w:t>
      </w:r>
      <w:r>
        <w:rPr>
          <w:color w:val="000000"/>
          <w:sz w:val="26"/>
          <w:szCs w:val="26"/>
          <w:vertAlign w:val="superscript"/>
        </w:rPr>
        <w:t xml:space="preserve"> </w:t>
      </w:r>
    </w:p>
    <w:p w14:paraId="00000009" w14:textId="77777777" w:rsidR="007A5E30" w:rsidRDefault="006B716B" w:rsidP="006B716B">
      <w:pPr>
        <w:widowControl w:val="0"/>
        <w:pBdr>
          <w:top w:val="nil"/>
          <w:left w:val="nil"/>
          <w:bottom w:val="nil"/>
          <w:right w:val="nil"/>
          <w:between w:val="nil"/>
        </w:pBdr>
        <w:spacing w:before="76"/>
        <w:ind w:right="4" w:firstLine="360"/>
        <w:jc w:val="both"/>
        <w:rPr>
          <w:color w:val="000000"/>
          <w:sz w:val="24"/>
          <w:szCs w:val="24"/>
        </w:rPr>
      </w:pPr>
      <w:r>
        <w:rPr>
          <w:color w:val="000000"/>
          <w:sz w:val="24"/>
          <w:szCs w:val="24"/>
        </w:rPr>
        <w:t xml:space="preserve">As maritime arbitration has received less scholarly attention compared to commercial and investment arbitration and remains largely unexplored, this paper examines in depth the phenomenon of maritime arbitration with specific focus on </w:t>
      </w:r>
      <w:r>
        <w:rPr>
          <w:color w:val="000000"/>
          <w:sz w:val="24"/>
          <w:szCs w:val="24"/>
        </w:rPr>
        <w:t xml:space="preserve">contracts for the carriage of goods by sea. </w:t>
      </w:r>
    </w:p>
    <w:p w14:paraId="0000000A" w14:textId="77777777" w:rsidR="007A5E30" w:rsidRDefault="006B716B" w:rsidP="006B716B">
      <w:pPr>
        <w:widowControl w:val="0"/>
        <w:pBdr>
          <w:top w:val="nil"/>
          <w:left w:val="nil"/>
          <w:bottom w:val="nil"/>
          <w:right w:val="nil"/>
          <w:between w:val="nil"/>
        </w:pBdr>
        <w:spacing w:before="81"/>
        <w:ind w:right="4" w:firstLine="360"/>
        <w:jc w:val="both"/>
        <w:rPr>
          <w:color w:val="000000"/>
          <w:sz w:val="24"/>
          <w:szCs w:val="24"/>
        </w:rPr>
      </w:pPr>
      <w:r>
        <w:rPr>
          <w:color w:val="000000"/>
          <w:sz w:val="24"/>
          <w:szCs w:val="24"/>
        </w:rPr>
        <w:t>Firstly, this paper defines maritime arbitration and analyzes the reasons for its widespread use in contracts for the carriage of goods by sea. Secondly, it examines the theoretical background of maritime arbitr</w:t>
      </w:r>
      <w:r>
        <w:rPr>
          <w:color w:val="000000"/>
          <w:sz w:val="24"/>
          <w:szCs w:val="24"/>
        </w:rPr>
        <w:t>ation, and more specifically party autonomy and the interface of maritime arbitration with national legal orders. Thirdly, it analyzes the current legal regime of arbitration in contracts of carriage. It first examines the international instruments governi</w:t>
      </w:r>
      <w:r>
        <w:rPr>
          <w:color w:val="000000"/>
          <w:sz w:val="24"/>
          <w:szCs w:val="24"/>
        </w:rPr>
        <w:t>ng arbitration in contracts for the carriage of goods by sea and then it navigates the legal regimes and arbitration models in the most prominent maritime arbitral seats, namely London, New York and Singapore, as well as in a civil law jurisdiction, Greece</w:t>
      </w:r>
      <w:r>
        <w:rPr>
          <w:color w:val="000000"/>
          <w:sz w:val="24"/>
          <w:szCs w:val="24"/>
        </w:rPr>
        <w:t xml:space="preserve">. </w:t>
      </w:r>
    </w:p>
    <w:p w14:paraId="0000000D" w14:textId="7409643B" w:rsidR="007A5E30" w:rsidRDefault="006B716B" w:rsidP="006B716B">
      <w:pPr>
        <w:widowControl w:val="0"/>
        <w:pBdr>
          <w:top w:val="nil"/>
          <w:left w:val="nil"/>
          <w:bottom w:val="nil"/>
          <w:right w:val="nil"/>
          <w:between w:val="nil"/>
        </w:pBdr>
        <w:spacing w:before="76"/>
        <w:ind w:right="4" w:firstLine="360"/>
        <w:jc w:val="both"/>
        <w:rPr>
          <w:color w:val="000000"/>
          <w:sz w:val="24"/>
          <w:szCs w:val="24"/>
        </w:rPr>
      </w:pPr>
      <w:r>
        <w:rPr>
          <w:color w:val="000000"/>
          <w:sz w:val="24"/>
          <w:szCs w:val="24"/>
        </w:rPr>
        <w:t>On the basis of this elaborate comparative review, it evaluates the role of state courts and the effect of different arbitration models to maritime arbitration. Specifically, it examines the extent of judicial review of arbitration awards in these juris</w:t>
      </w:r>
      <w:r>
        <w:rPr>
          <w:color w:val="000000"/>
          <w:sz w:val="24"/>
          <w:szCs w:val="24"/>
        </w:rPr>
        <w:t xml:space="preserve">dictions, </w:t>
      </w:r>
      <w:r>
        <w:rPr>
          <w:color w:val="000000"/>
          <w:sz w:val="24"/>
          <w:szCs w:val="24"/>
        </w:rPr>
        <w:t>particularly on the grounds of error of law. This analysis of</w:t>
      </w:r>
      <w:bookmarkStart w:id="0" w:name="_GoBack"/>
      <w:bookmarkEnd w:id="0"/>
      <w:r>
        <w:rPr>
          <w:color w:val="000000"/>
          <w:sz w:val="24"/>
          <w:szCs w:val="24"/>
        </w:rPr>
        <w:t xml:space="preserve"> the legal regimes an</w:t>
      </w:r>
      <w:r>
        <w:rPr>
          <w:color w:val="000000"/>
          <w:sz w:val="24"/>
          <w:szCs w:val="24"/>
        </w:rPr>
        <w:t>d maritime arbitration practice, as evidenced by case law and published arbitral awards aims to shed light on the commonalities and differences in the approaches of courts and arbitrators in different jurisdictions and their effect to the parties’ choice f</w:t>
      </w:r>
      <w:r>
        <w:rPr>
          <w:color w:val="000000"/>
          <w:sz w:val="24"/>
          <w:szCs w:val="24"/>
        </w:rPr>
        <w:t>or arbitration. Finally, on the basis of this comparative analysis of different arbitration models, this study attempts to conceptualize this phenomenon, by proposing a maritime arbitration continuum and suggesting the prospective position of each arbitrat</w:t>
      </w:r>
      <w:r>
        <w:rPr>
          <w:color w:val="000000"/>
          <w:sz w:val="24"/>
          <w:szCs w:val="24"/>
        </w:rPr>
        <w:t xml:space="preserve">ion model on the opposite ends of the continuum. </w:t>
      </w:r>
    </w:p>
    <w:sectPr w:rsidR="007A5E30">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83CA74" w14:textId="77777777" w:rsidR="006B716B" w:rsidRDefault="006B716B" w:rsidP="006B716B">
      <w:pPr>
        <w:spacing w:line="240" w:lineRule="auto"/>
      </w:pPr>
      <w:r>
        <w:separator/>
      </w:r>
    </w:p>
  </w:endnote>
  <w:endnote w:type="continuationSeparator" w:id="0">
    <w:p w14:paraId="19E5BC32" w14:textId="77777777" w:rsidR="006B716B" w:rsidRDefault="006B716B" w:rsidP="006B716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79A48F" w14:textId="77777777" w:rsidR="006B716B" w:rsidRDefault="006B716B" w:rsidP="006B716B">
      <w:pPr>
        <w:spacing w:line="240" w:lineRule="auto"/>
      </w:pPr>
      <w:r>
        <w:separator/>
      </w:r>
    </w:p>
  </w:footnote>
  <w:footnote w:type="continuationSeparator" w:id="0">
    <w:p w14:paraId="6E09AEE5" w14:textId="77777777" w:rsidR="006B716B" w:rsidRDefault="006B716B" w:rsidP="006B716B">
      <w:pPr>
        <w:spacing w:line="240" w:lineRule="auto"/>
      </w:pPr>
      <w:r>
        <w:continuationSeparator/>
      </w:r>
    </w:p>
  </w:footnote>
  <w:footnote w:id="1">
    <w:p w14:paraId="73530C5E" w14:textId="1AB7E46B" w:rsidR="006B716B" w:rsidRPr="006B716B" w:rsidRDefault="006B716B">
      <w:pPr>
        <w:pStyle w:val="FootnoteText"/>
        <w:rPr>
          <w:lang w:val="en-US"/>
        </w:rPr>
      </w:pPr>
      <w:r>
        <w:rPr>
          <w:rStyle w:val="FootnoteReference"/>
        </w:rPr>
        <w:footnoteRef/>
      </w:r>
      <w:r>
        <w:t xml:space="preserve"> </w:t>
      </w:r>
      <w:r>
        <w:rPr>
          <w:color w:val="000000"/>
          <w:sz w:val="32"/>
          <w:szCs w:val="32"/>
          <w:vertAlign w:val="subscript"/>
        </w:rPr>
        <w:t xml:space="preserve">PhD </w:t>
      </w:r>
      <w:proofErr w:type="spellStart"/>
      <w:r>
        <w:rPr>
          <w:color w:val="000000"/>
          <w:sz w:val="32"/>
          <w:szCs w:val="32"/>
          <w:vertAlign w:val="subscript"/>
        </w:rPr>
        <w:t>cand</w:t>
      </w:r>
      <w:proofErr w:type="spellEnd"/>
      <w:r>
        <w:rPr>
          <w:color w:val="000000"/>
          <w:sz w:val="32"/>
          <w:szCs w:val="32"/>
          <w:vertAlign w:val="subscript"/>
        </w:rPr>
        <w:t xml:space="preserve">. University of the Aegean, Greece, enlitina@aegean.gr; LL.M. NYU, Attorney at law, Athens, </w:t>
      </w:r>
      <w:r>
        <w:rPr>
          <w:color w:val="000000"/>
          <w:sz w:val="19"/>
          <w:szCs w:val="19"/>
        </w:rPr>
        <w:t>New York</w:t>
      </w:r>
    </w:p>
  </w:footnote>
  <w:footnote w:id="2">
    <w:p w14:paraId="30034504" w14:textId="12442970" w:rsidR="006B716B" w:rsidRPr="006B716B" w:rsidRDefault="006B716B">
      <w:pPr>
        <w:pStyle w:val="FootnoteText"/>
        <w:rPr>
          <w:lang w:val="en-US"/>
        </w:rPr>
      </w:pPr>
      <w:r>
        <w:rPr>
          <w:rStyle w:val="FootnoteReference"/>
        </w:rPr>
        <w:footnoteRef/>
      </w:r>
      <w:r>
        <w:t xml:space="preserve"> </w:t>
      </w:r>
      <w:r>
        <w:rPr>
          <w:color w:val="000000"/>
          <w:sz w:val="32"/>
          <w:szCs w:val="32"/>
          <w:vertAlign w:val="subscript"/>
        </w:rPr>
        <w:t xml:space="preserve">Clare Ambrose, Karen Maxwell, </w:t>
      </w:r>
      <w:r>
        <w:rPr>
          <w:i/>
          <w:color w:val="000000"/>
          <w:sz w:val="32"/>
          <w:szCs w:val="32"/>
          <w:vertAlign w:val="subscript"/>
        </w:rPr>
        <w:t xml:space="preserve">London maritime arbitration </w:t>
      </w:r>
      <w:r>
        <w:rPr>
          <w:color w:val="000000"/>
          <w:sz w:val="32"/>
          <w:szCs w:val="32"/>
          <w:vertAlign w:val="subscript"/>
        </w:rPr>
        <w:t>(</w:t>
      </w:r>
      <w:proofErr w:type="spellStart"/>
      <w:r>
        <w:rPr>
          <w:color w:val="000000"/>
          <w:sz w:val="32"/>
          <w:szCs w:val="32"/>
          <w:vertAlign w:val="subscript"/>
        </w:rPr>
        <w:t>Informa</w:t>
      </w:r>
      <w:proofErr w:type="spellEnd"/>
      <w:r>
        <w:rPr>
          <w:color w:val="000000"/>
          <w:sz w:val="32"/>
          <w:szCs w:val="32"/>
          <w:vertAlign w:val="subscript"/>
        </w:rPr>
        <w:t xml:space="preserve"> 2018) 42</w:t>
      </w:r>
    </w:p>
  </w:footnote>
  <w:footnote w:id="3">
    <w:p w14:paraId="29ED1048" w14:textId="0411952B" w:rsidR="006B716B" w:rsidRPr="006B716B" w:rsidRDefault="006B716B">
      <w:pPr>
        <w:pStyle w:val="FootnoteText"/>
        <w:rPr>
          <w:lang w:val="en-US"/>
        </w:rPr>
      </w:pPr>
      <w:r>
        <w:rPr>
          <w:rStyle w:val="FootnoteReference"/>
        </w:rPr>
        <w:footnoteRef/>
      </w:r>
      <w:r>
        <w:t xml:space="preserve"> </w:t>
      </w:r>
      <w:r>
        <w:rPr>
          <w:color w:val="000000"/>
          <w:sz w:val="32"/>
          <w:szCs w:val="32"/>
          <w:vertAlign w:val="subscript"/>
        </w:rPr>
        <w:t xml:space="preserve">Francesco </w:t>
      </w:r>
      <w:proofErr w:type="spellStart"/>
      <w:r>
        <w:rPr>
          <w:color w:val="000000"/>
          <w:sz w:val="32"/>
          <w:szCs w:val="32"/>
          <w:vertAlign w:val="subscript"/>
        </w:rPr>
        <w:t>Berlingieri</w:t>
      </w:r>
      <w:proofErr w:type="spellEnd"/>
      <w:r>
        <w:rPr>
          <w:color w:val="000000"/>
          <w:sz w:val="32"/>
          <w:szCs w:val="32"/>
          <w:vertAlign w:val="subscript"/>
        </w:rPr>
        <w:t xml:space="preserve"> ‘</w:t>
      </w:r>
      <w:proofErr w:type="spellStart"/>
      <w:r>
        <w:rPr>
          <w:color w:val="000000"/>
          <w:sz w:val="32"/>
          <w:szCs w:val="32"/>
          <w:vertAlign w:val="subscript"/>
        </w:rPr>
        <w:t>Intenational</w:t>
      </w:r>
      <w:proofErr w:type="spellEnd"/>
      <w:r>
        <w:rPr>
          <w:color w:val="000000"/>
          <w:sz w:val="32"/>
          <w:szCs w:val="32"/>
          <w:vertAlign w:val="subscript"/>
        </w:rPr>
        <w:t xml:space="preserve"> Maritime Arbitration’ (1978-9) 10 J of Mar L &amp; Com 201, see also </w:t>
      </w:r>
      <w:proofErr w:type="spellStart"/>
      <w:r>
        <w:rPr>
          <w:color w:val="000000"/>
          <w:sz w:val="19"/>
          <w:szCs w:val="19"/>
        </w:rPr>
        <w:t>Fabrizio</w:t>
      </w:r>
      <w:proofErr w:type="spellEnd"/>
      <w:r>
        <w:rPr>
          <w:color w:val="000000"/>
          <w:sz w:val="19"/>
          <w:szCs w:val="19"/>
        </w:rPr>
        <w:t xml:space="preserve"> </w:t>
      </w:r>
      <w:proofErr w:type="spellStart"/>
      <w:r>
        <w:rPr>
          <w:color w:val="000000"/>
          <w:sz w:val="19"/>
          <w:szCs w:val="19"/>
        </w:rPr>
        <w:t>Marrella</w:t>
      </w:r>
      <w:proofErr w:type="spellEnd"/>
      <w:r>
        <w:rPr>
          <w:color w:val="000000"/>
          <w:sz w:val="19"/>
          <w:szCs w:val="19"/>
        </w:rPr>
        <w:t>, ‘Unity and Diversity in International Arbitration: The case of Maritime Arbitration’ (2005) 20 American U Intl L Rev 1056, 1059</w:t>
      </w:r>
    </w:p>
  </w:footnote>
  <w:footnote w:id="4">
    <w:p w14:paraId="100D111D" w14:textId="33472096" w:rsidR="006B716B" w:rsidRPr="006B716B" w:rsidRDefault="006B716B">
      <w:pPr>
        <w:pStyle w:val="FootnoteText"/>
        <w:rPr>
          <w:lang w:val="en-US"/>
        </w:rPr>
      </w:pPr>
      <w:r>
        <w:rPr>
          <w:rStyle w:val="FootnoteReference"/>
        </w:rPr>
        <w:footnoteRef/>
      </w:r>
      <w:r>
        <w:t xml:space="preserve"> </w:t>
      </w:r>
      <w:r>
        <w:rPr>
          <w:color w:val="000000"/>
          <w:sz w:val="32"/>
          <w:szCs w:val="32"/>
          <w:vertAlign w:val="subscript"/>
        </w:rPr>
        <w:t xml:space="preserve">Russell </w:t>
      </w:r>
      <w:proofErr w:type="spellStart"/>
      <w:r>
        <w:rPr>
          <w:color w:val="000000"/>
          <w:sz w:val="32"/>
          <w:szCs w:val="32"/>
          <w:vertAlign w:val="subscript"/>
        </w:rPr>
        <w:t>Cortazzo</w:t>
      </w:r>
      <w:proofErr w:type="spellEnd"/>
      <w:r>
        <w:rPr>
          <w:color w:val="000000"/>
          <w:sz w:val="32"/>
          <w:szCs w:val="32"/>
          <w:vertAlign w:val="subscript"/>
        </w:rPr>
        <w:t xml:space="preserve"> ‘Development and Trends of Lex Maritime from International Arbitration </w:t>
      </w:r>
      <w:r>
        <w:rPr>
          <w:color w:val="000000"/>
          <w:sz w:val="19"/>
          <w:szCs w:val="19"/>
        </w:rPr>
        <w:t>Jurisprudence’ (2012) 43 J Mar L &amp; Commerce 255, 257.</w:t>
      </w:r>
    </w:p>
  </w:footnote>
  <w:footnote w:id="5">
    <w:p w14:paraId="31013E42" w14:textId="5E1EAE74" w:rsidR="006B716B" w:rsidRPr="006B716B" w:rsidRDefault="006B716B">
      <w:pPr>
        <w:pStyle w:val="FootnoteText"/>
        <w:rPr>
          <w:lang w:val="en-US"/>
        </w:rPr>
      </w:pPr>
      <w:r>
        <w:rPr>
          <w:rStyle w:val="FootnoteReference"/>
        </w:rPr>
        <w:footnoteRef/>
      </w:r>
      <w:r>
        <w:t xml:space="preserve"> </w:t>
      </w:r>
      <w:r>
        <w:rPr>
          <w:color w:val="262626"/>
          <w:sz w:val="32"/>
          <w:szCs w:val="32"/>
          <w:vertAlign w:val="subscript"/>
        </w:rPr>
        <w:t xml:space="preserve">Thomas </w:t>
      </w:r>
      <w:proofErr w:type="spellStart"/>
      <w:r>
        <w:rPr>
          <w:color w:val="262626"/>
          <w:sz w:val="32"/>
          <w:szCs w:val="32"/>
          <w:vertAlign w:val="subscript"/>
        </w:rPr>
        <w:t>Carbonneau</w:t>
      </w:r>
      <w:proofErr w:type="spellEnd"/>
      <w:r>
        <w:rPr>
          <w:color w:val="262626"/>
          <w:sz w:val="32"/>
          <w:szCs w:val="32"/>
          <w:vertAlign w:val="subscript"/>
        </w:rPr>
        <w:t xml:space="preserve">, </w:t>
      </w:r>
      <w:r>
        <w:rPr>
          <w:i/>
          <w:color w:val="262626"/>
          <w:sz w:val="32"/>
          <w:szCs w:val="32"/>
          <w:vertAlign w:val="subscript"/>
        </w:rPr>
        <w:t xml:space="preserve">The Law and Practice of Arbitration </w:t>
      </w:r>
      <w:r>
        <w:rPr>
          <w:color w:val="262626"/>
          <w:sz w:val="32"/>
          <w:szCs w:val="32"/>
          <w:vertAlign w:val="subscript"/>
        </w:rPr>
        <w:t>(5</w:t>
      </w:r>
      <w:r>
        <w:rPr>
          <w:color w:val="262626"/>
          <w:sz w:val="12"/>
          <w:szCs w:val="12"/>
        </w:rPr>
        <w:t xml:space="preserve">th </w:t>
      </w:r>
      <w:proofErr w:type="spellStart"/>
      <w:r>
        <w:rPr>
          <w:color w:val="262626"/>
          <w:sz w:val="32"/>
          <w:szCs w:val="32"/>
          <w:vertAlign w:val="subscript"/>
        </w:rPr>
        <w:t>edn</w:t>
      </w:r>
      <w:proofErr w:type="spellEnd"/>
      <w:r>
        <w:rPr>
          <w:color w:val="262626"/>
          <w:sz w:val="32"/>
          <w:szCs w:val="32"/>
          <w:vertAlign w:val="subscript"/>
        </w:rPr>
        <w:t xml:space="preserve">, </w:t>
      </w:r>
      <w:proofErr w:type="spellStart"/>
      <w:r>
        <w:rPr>
          <w:color w:val="262626"/>
          <w:sz w:val="32"/>
          <w:szCs w:val="32"/>
          <w:vertAlign w:val="subscript"/>
        </w:rPr>
        <w:t>JurisNet</w:t>
      </w:r>
      <w:proofErr w:type="spellEnd"/>
      <w:r>
        <w:rPr>
          <w:color w:val="262626"/>
          <w:sz w:val="32"/>
          <w:szCs w:val="32"/>
          <w:vertAlign w:val="subscript"/>
        </w:rPr>
        <w:t xml:space="preserve"> LLC 2014) 370-1, see also </w:t>
      </w:r>
      <w:r>
        <w:rPr>
          <w:color w:val="000000"/>
          <w:sz w:val="19"/>
          <w:szCs w:val="19"/>
        </w:rPr>
        <w:t xml:space="preserve">Joshua </w:t>
      </w:r>
      <w:proofErr w:type="spellStart"/>
      <w:r>
        <w:rPr>
          <w:color w:val="000000"/>
          <w:sz w:val="19"/>
          <w:szCs w:val="19"/>
        </w:rPr>
        <w:t>Karton</w:t>
      </w:r>
      <w:proofErr w:type="spellEnd"/>
      <w:r>
        <w:rPr>
          <w:color w:val="000000"/>
          <w:sz w:val="19"/>
          <w:szCs w:val="19"/>
        </w:rPr>
        <w:t xml:space="preserve">, ‘International Arbitration Culture and Global Governance’ in Walter </w:t>
      </w:r>
      <w:proofErr w:type="spellStart"/>
      <w:r>
        <w:rPr>
          <w:color w:val="000000"/>
          <w:sz w:val="19"/>
          <w:szCs w:val="19"/>
        </w:rPr>
        <w:t>Mattli</w:t>
      </w:r>
      <w:proofErr w:type="spellEnd"/>
      <w:r>
        <w:rPr>
          <w:color w:val="000000"/>
          <w:sz w:val="19"/>
          <w:szCs w:val="19"/>
        </w:rPr>
        <w:t xml:space="preserve"> and Thomas Dietz (</w:t>
      </w:r>
      <w:proofErr w:type="spellStart"/>
      <w:proofErr w:type="gramStart"/>
      <w:r>
        <w:rPr>
          <w:color w:val="000000"/>
          <w:sz w:val="19"/>
          <w:szCs w:val="19"/>
        </w:rPr>
        <w:t>eds</w:t>
      </w:r>
      <w:proofErr w:type="spellEnd"/>
      <w:proofErr w:type="gramEnd"/>
      <w:r>
        <w:rPr>
          <w:color w:val="000000"/>
          <w:sz w:val="19"/>
          <w:szCs w:val="19"/>
        </w:rPr>
        <w:t xml:space="preserve">) </w:t>
      </w:r>
      <w:r>
        <w:rPr>
          <w:i/>
          <w:color w:val="000000"/>
          <w:sz w:val="19"/>
          <w:szCs w:val="19"/>
        </w:rPr>
        <w:t xml:space="preserve">International Arbitration and Global Governance: Contending Theories and Evidence </w:t>
      </w:r>
      <w:r>
        <w:rPr>
          <w:color w:val="000000"/>
          <w:sz w:val="19"/>
          <w:szCs w:val="19"/>
        </w:rPr>
        <w:t>(OUP 2014) 74, 75.</w:t>
      </w:r>
    </w:p>
  </w:footnote>
  <w:footnote w:id="6">
    <w:p w14:paraId="77D09267" w14:textId="398FEAB0" w:rsidR="006B716B" w:rsidRPr="006B716B" w:rsidRDefault="006B716B">
      <w:pPr>
        <w:pStyle w:val="FootnoteText"/>
        <w:rPr>
          <w:lang w:val="en-US"/>
        </w:rPr>
      </w:pPr>
      <w:r>
        <w:rPr>
          <w:rStyle w:val="FootnoteReference"/>
        </w:rPr>
        <w:footnoteRef/>
      </w:r>
      <w:r>
        <w:t xml:space="preserve"> </w:t>
      </w:r>
      <w:proofErr w:type="spellStart"/>
      <w:r>
        <w:rPr>
          <w:color w:val="000000"/>
          <w:sz w:val="32"/>
          <w:szCs w:val="32"/>
          <w:vertAlign w:val="subscript"/>
        </w:rPr>
        <w:t>Fabrizio</w:t>
      </w:r>
      <w:proofErr w:type="spellEnd"/>
      <w:r>
        <w:rPr>
          <w:color w:val="000000"/>
          <w:sz w:val="32"/>
          <w:szCs w:val="32"/>
          <w:vertAlign w:val="subscript"/>
        </w:rPr>
        <w:t xml:space="preserve"> </w:t>
      </w:r>
      <w:proofErr w:type="spellStart"/>
      <w:r>
        <w:rPr>
          <w:color w:val="000000"/>
          <w:sz w:val="32"/>
          <w:szCs w:val="32"/>
          <w:vertAlign w:val="subscript"/>
        </w:rPr>
        <w:t>Marrella</w:t>
      </w:r>
      <w:proofErr w:type="spellEnd"/>
      <w:r>
        <w:rPr>
          <w:color w:val="000000"/>
          <w:sz w:val="32"/>
          <w:szCs w:val="32"/>
          <w:vertAlign w:val="subscript"/>
        </w:rPr>
        <w:t xml:space="preserve"> ‘Unity and Diversity in International Arbitration: The Case of Maritime Arbitration’ </w:t>
      </w:r>
      <w:r>
        <w:rPr>
          <w:color w:val="000000"/>
          <w:sz w:val="19"/>
          <w:szCs w:val="19"/>
        </w:rPr>
        <w:t>(2005) 5 Am U Intl L Rev 1055, 1088</w:t>
      </w:r>
    </w:p>
  </w:footnote>
  <w:footnote w:id="7">
    <w:p w14:paraId="59C79A6E" w14:textId="7E98509E" w:rsidR="006B716B" w:rsidRPr="006B716B" w:rsidRDefault="006B716B">
      <w:pPr>
        <w:pStyle w:val="FootnoteText"/>
        <w:rPr>
          <w:lang w:val="en-US"/>
        </w:rPr>
      </w:pPr>
      <w:r>
        <w:rPr>
          <w:rStyle w:val="FootnoteReference"/>
        </w:rPr>
        <w:footnoteRef/>
      </w:r>
      <w:r>
        <w:t xml:space="preserve"> </w:t>
      </w:r>
      <w:r>
        <w:rPr>
          <w:color w:val="000000"/>
          <w:sz w:val="32"/>
          <w:szCs w:val="32"/>
          <w:vertAlign w:val="subscript"/>
        </w:rPr>
        <w:t xml:space="preserve">Gary Born, </w:t>
      </w:r>
      <w:r>
        <w:rPr>
          <w:i/>
          <w:color w:val="000000"/>
          <w:sz w:val="32"/>
          <w:szCs w:val="32"/>
          <w:vertAlign w:val="subscript"/>
        </w:rPr>
        <w:t xml:space="preserve">International Commercial Arbitration </w:t>
      </w:r>
      <w:r>
        <w:rPr>
          <w:color w:val="000000"/>
          <w:sz w:val="32"/>
          <w:szCs w:val="32"/>
          <w:vertAlign w:val="subscript"/>
        </w:rPr>
        <w:t>(2</w:t>
      </w:r>
      <w:r>
        <w:rPr>
          <w:color w:val="000000"/>
          <w:sz w:val="12"/>
          <w:szCs w:val="12"/>
        </w:rPr>
        <w:t xml:space="preserve">nd </w:t>
      </w:r>
      <w:proofErr w:type="spellStart"/>
      <w:r>
        <w:rPr>
          <w:color w:val="000000"/>
          <w:sz w:val="32"/>
          <w:szCs w:val="32"/>
          <w:vertAlign w:val="subscript"/>
        </w:rPr>
        <w:t>edn</w:t>
      </w:r>
      <w:proofErr w:type="spellEnd"/>
      <w:r>
        <w:rPr>
          <w:color w:val="000000"/>
          <w:sz w:val="32"/>
          <w:szCs w:val="32"/>
          <w:vertAlign w:val="subscript"/>
        </w:rPr>
        <w:t>, Kluwer L Intl 2014) 169.</w:t>
      </w:r>
    </w:p>
  </w:footnote>
  <w:footnote w:id="8">
    <w:p w14:paraId="0EB227C3" w14:textId="5584FE6D" w:rsidR="006B716B" w:rsidRPr="006B716B" w:rsidRDefault="006B716B" w:rsidP="006B716B">
      <w:pPr>
        <w:widowControl w:val="0"/>
        <w:pBdr>
          <w:top w:val="nil"/>
          <w:left w:val="nil"/>
          <w:bottom w:val="nil"/>
          <w:right w:val="nil"/>
          <w:between w:val="nil"/>
        </w:pBdr>
        <w:spacing w:line="240" w:lineRule="auto"/>
        <w:rPr>
          <w:color w:val="000000"/>
          <w:sz w:val="19"/>
          <w:szCs w:val="19"/>
        </w:rPr>
      </w:pPr>
      <w:r>
        <w:rPr>
          <w:rStyle w:val="FootnoteReference"/>
        </w:rPr>
        <w:footnoteRef/>
      </w:r>
      <w:r>
        <w:t xml:space="preserve"> </w:t>
      </w:r>
      <w:r>
        <w:rPr>
          <w:color w:val="000000"/>
          <w:sz w:val="32"/>
          <w:szCs w:val="32"/>
          <w:vertAlign w:val="subscript"/>
        </w:rPr>
        <w:t xml:space="preserve">See more about the form and independence of these associations: for London, the London Maritime </w:t>
      </w:r>
      <w:r>
        <w:rPr>
          <w:color w:val="000000"/>
          <w:sz w:val="19"/>
          <w:szCs w:val="19"/>
        </w:rPr>
        <w:t xml:space="preserve">Arbitrators Association (LMAA) </w:t>
      </w:r>
      <w:r>
        <w:rPr>
          <w:color w:val="000000"/>
          <w:sz w:val="19"/>
          <w:szCs w:val="19"/>
        </w:rPr>
        <w:t>&lt;www.lmaa.london/uploads/documents/GUIDELINES%20FULL%20MEMBERSHIP%202018.pdf&gt;; for New York, the Society of Maritime Arbitrators (SMA) &lt;www.smany.org/new-york-maritime-arbitration- guide.html&gt;; for Singapore, the Singapore Chamber of Maritime Arbitration has developed a hybrid arbitration model combining the advantages of ad hoc arbitration with institutional assistance (SCMA) &lt;www.scma.org.sg &gt; accessed 31 January 2019.</w:t>
      </w:r>
    </w:p>
  </w:footnote>
  <w:footnote w:id="9">
    <w:p w14:paraId="2E111BFF" w14:textId="6254426B" w:rsidR="006B716B" w:rsidRPr="006B716B" w:rsidRDefault="006B716B">
      <w:pPr>
        <w:pStyle w:val="FootnoteText"/>
        <w:rPr>
          <w:lang w:val="en-US"/>
        </w:rPr>
      </w:pPr>
      <w:r>
        <w:rPr>
          <w:rStyle w:val="FootnoteReference"/>
        </w:rPr>
        <w:footnoteRef/>
      </w:r>
      <w:r>
        <w:t xml:space="preserve"> </w:t>
      </w:r>
      <w:r>
        <w:rPr>
          <w:color w:val="000000"/>
          <w:sz w:val="32"/>
          <w:szCs w:val="32"/>
          <w:vertAlign w:val="subscript"/>
        </w:rPr>
        <w:t xml:space="preserve">See LMAA Terms, para 28: “If the tribunal considers that an arbitration decision merits publication and </w:t>
      </w:r>
      <w:r>
        <w:rPr>
          <w:color w:val="000000"/>
          <w:sz w:val="19"/>
          <w:szCs w:val="19"/>
        </w:rPr>
        <w:t xml:space="preserve">gives notice to the parties of its intention to release the award for publication, then unless either or both parties inform the tribunal of its or their objection to publication within 21 days of the notice, the award </w:t>
      </w:r>
      <w:r>
        <w:rPr>
          <w:i/>
          <w:color w:val="000000"/>
          <w:sz w:val="19"/>
          <w:szCs w:val="19"/>
        </w:rPr>
        <w:t xml:space="preserve">may </w:t>
      </w:r>
      <w:r>
        <w:rPr>
          <w:color w:val="000000"/>
          <w:sz w:val="19"/>
          <w:szCs w:val="19"/>
        </w:rPr>
        <w:t xml:space="preserve">be publicised”; SMA Maritime Arbitration Rules, s 1: “Unless stipulated in advance to the contrary, the parties, by consenting to these Rules, agree that the Award issued </w:t>
      </w:r>
      <w:r>
        <w:rPr>
          <w:i/>
          <w:color w:val="000000"/>
          <w:sz w:val="19"/>
          <w:szCs w:val="19"/>
        </w:rPr>
        <w:t xml:space="preserve">may </w:t>
      </w:r>
      <w:r>
        <w:rPr>
          <w:color w:val="000000"/>
          <w:sz w:val="19"/>
          <w:szCs w:val="19"/>
        </w:rPr>
        <w:t>be published by the Society of Maritime Arbitrators, Inc. and/or its correspondents.”</w:t>
      </w:r>
    </w:p>
  </w:footnote>
  <w:footnote w:id="10">
    <w:p w14:paraId="696513E8" w14:textId="44A79369" w:rsidR="006B716B" w:rsidRPr="006B716B" w:rsidRDefault="006B716B">
      <w:pPr>
        <w:pStyle w:val="FootnoteText"/>
        <w:rPr>
          <w:lang w:val="en-US"/>
        </w:rPr>
      </w:pPr>
      <w:r>
        <w:rPr>
          <w:rStyle w:val="FootnoteReference"/>
        </w:rPr>
        <w:footnoteRef/>
      </w:r>
      <w:r>
        <w:t xml:space="preserve"> </w:t>
      </w:r>
      <w:proofErr w:type="spellStart"/>
      <w:r>
        <w:rPr>
          <w:color w:val="000000"/>
          <w:sz w:val="32"/>
          <w:szCs w:val="32"/>
          <w:vertAlign w:val="subscript"/>
        </w:rPr>
        <w:t>Loukas</w:t>
      </w:r>
      <w:proofErr w:type="spellEnd"/>
      <w:r>
        <w:rPr>
          <w:color w:val="000000"/>
          <w:sz w:val="32"/>
          <w:szCs w:val="32"/>
          <w:vertAlign w:val="subscript"/>
        </w:rPr>
        <w:t xml:space="preserve"> </w:t>
      </w:r>
      <w:proofErr w:type="spellStart"/>
      <w:r>
        <w:rPr>
          <w:color w:val="000000"/>
          <w:sz w:val="32"/>
          <w:szCs w:val="32"/>
          <w:vertAlign w:val="subscript"/>
        </w:rPr>
        <w:t>Mistelis</w:t>
      </w:r>
      <w:proofErr w:type="spellEnd"/>
      <w:r>
        <w:rPr>
          <w:color w:val="000000"/>
          <w:sz w:val="32"/>
          <w:szCs w:val="32"/>
          <w:vertAlign w:val="subscript"/>
        </w:rPr>
        <w:t xml:space="preserve">, ‘Competition of Arbitral Seats in Attracting International Maritime Arbitration Disputes’ </w:t>
      </w:r>
      <w:r>
        <w:rPr>
          <w:color w:val="000000"/>
          <w:sz w:val="19"/>
          <w:szCs w:val="19"/>
        </w:rPr>
        <w:t xml:space="preserve">in Miriam </w:t>
      </w:r>
      <w:proofErr w:type="spellStart"/>
      <w:r>
        <w:rPr>
          <w:color w:val="000000"/>
          <w:sz w:val="19"/>
          <w:szCs w:val="19"/>
        </w:rPr>
        <w:t>Goldby</w:t>
      </w:r>
      <w:proofErr w:type="spellEnd"/>
      <w:r>
        <w:rPr>
          <w:color w:val="000000"/>
          <w:sz w:val="19"/>
          <w:szCs w:val="19"/>
        </w:rPr>
        <w:t xml:space="preserve"> and </w:t>
      </w:r>
      <w:proofErr w:type="spellStart"/>
      <w:r>
        <w:rPr>
          <w:color w:val="000000"/>
          <w:sz w:val="19"/>
          <w:szCs w:val="19"/>
        </w:rPr>
        <w:t>Loukas</w:t>
      </w:r>
      <w:proofErr w:type="spellEnd"/>
      <w:r>
        <w:rPr>
          <w:color w:val="000000"/>
          <w:sz w:val="19"/>
          <w:szCs w:val="19"/>
        </w:rPr>
        <w:t xml:space="preserve"> </w:t>
      </w:r>
      <w:proofErr w:type="spellStart"/>
      <w:r>
        <w:rPr>
          <w:color w:val="000000"/>
          <w:sz w:val="19"/>
          <w:szCs w:val="19"/>
        </w:rPr>
        <w:t>Mistelis</w:t>
      </w:r>
      <w:proofErr w:type="spellEnd"/>
      <w:r>
        <w:rPr>
          <w:color w:val="000000"/>
          <w:sz w:val="19"/>
          <w:szCs w:val="19"/>
        </w:rPr>
        <w:t xml:space="preserve"> (</w:t>
      </w:r>
      <w:proofErr w:type="spellStart"/>
      <w:r>
        <w:rPr>
          <w:color w:val="000000"/>
          <w:sz w:val="19"/>
          <w:szCs w:val="19"/>
        </w:rPr>
        <w:t>eds</w:t>
      </w:r>
      <w:proofErr w:type="spellEnd"/>
      <w:r>
        <w:rPr>
          <w:color w:val="000000"/>
          <w:sz w:val="19"/>
          <w:szCs w:val="19"/>
        </w:rPr>
        <w:t xml:space="preserve">), </w:t>
      </w:r>
      <w:r>
        <w:rPr>
          <w:i/>
          <w:color w:val="000000"/>
          <w:sz w:val="19"/>
          <w:szCs w:val="19"/>
        </w:rPr>
        <w:t xml:space="preserve">The Role of Arbitration in Shipping Law </w:t>
      </w:r>
      <w:r>
        <w:rPr>
          <w:color w:val="000000"/>
          <w:sz w:val="19"/>
          <w:szCs w:val="19"/>
        </w:rPr>
        <w:t>(OUP 2016) 135.</w:t>
      </w:r>
    </w:p>
  </w:footnote>
  <w:footnote w:id="11">
    <w:p w14:paraId="49BE5134" w14:textId="5F8DCD45" w:rsidR="006B716B" w:rsidRPr="006B716B" w:rsidRDefault="006B716B">
      <w:pPr>
        <w:pStyle w:val="FootnoteText"/>
        <w:rPr>
          <w:lang w:val="en-US"/>
        </w:rPr>
      </w:pPr>
      <w:r>
        <w:rPr>
          <w:rStyle w:val="FootnoteReference"/>
        </w:rPr>
        <w:footnoteRef/>
      </w:r>
      <w:r>
        <w:t xml:space="preserve"> </w:t>
      </w:r>
      <w:r>
        <w:rPr>
          <w:color w:val="000000"/>
          <w:sz w:val="32"/>
          <w:szCs w:val="32"/>
          <w:vertAlign w:val="subscript"/>
        </w:rPr>
        <w:t xml:space="preserve">Bruce Harris, ‘London Maritime Arbitration’ (2011) 77 Arb 116, 123. Recently, the LMAA has </w:t>
      </w:r>
      <w:r>
        <w:rPr>
          <w:color w:val="000000"/>
          <w:sz w:val="19"/>
          <w:szCs w:val="19"/>
        </w:rPr>
        <w:t xml:space="preserve">published statistics for the number of appointments, arbitrations and awards in recent years &lt;www.lmaa.london/event.aspx?pkNewsEventID=208da443-7800-4720-84b3-7f4f3f5fc9ce&gt; accessed 31 January 2019. See also </w:t>
      </w:r>
      <w:proofErr w:type="spellStart"/>
      <w:r>
        <w:rPr>
          <w:color w:val="000000"/>
          <w:sz w:val="19"/>
          <w:szCs w:val="19"/>
        </w:rPr>
        <w:t>Petros</w:t>
      </w:r>
      <w:proofErr w:type="spellEnd"/>
      <w:r>
        <w:rPr>
          <w:color w:val="000000"/>
          <w:sz w:val="19"/>
          <w:szCs w:val="19"/>
        </w:rPr>
        <w:t xml:space="preserve"> </w:t>
      </w:r>
      <w:proofErr w:type="spellStart"/>
      <w:r>
        <w:rPr>
          <w:color w:val="000000"/>
          <w:sz w:val="19"/>
          <w:szCs w:val="19"/>
        </w:rPr>
        <w:t>Tassios</w:t>
      </w:r>
      <w:proofErr w:type="spellEnd"/>
      <w:r>
        <w:rPr>
          <w:color w:val="000000"/>
          <w:sz w:val="19"/>
          <w:szCs w:val="19"/>
        </w:rPr>
        <w:t>, ‘</w:t>
      </w:r>
      <w:proofErr w:type="gramStart"/>
      <w:r>
        <w:rPr>
          <w:color w:val="000000"/>
          <w:sz w:val="19"/>
          <w:szCs w:val="19"/>
        </w:rPr>
        <w:t>Choosing</w:t>
      </w:r>
      <w:proofErr w:type="gramEnd"/>
      <w:r>
        <w:rPr>
          <w:color w:val="000000"/>
          <w:sz w:val="19"/>
          <w:szCs w:val="19"/>
        </w:rPr>
        <w:t xml:space="preserve"> the Appropriate Venue: Maritime Arbitration in London or New York?’ (2004) 21 J of Intl Arb 355; </w:t>
      </w:r>
      <w:proofErr w:type="spellStart"/>
      <w:r>
        <w:rPr>
          <w:color w:val="000000"/>
          <w:sz w:val="19"/>
          <w:szCs w:val="19"/>
        </w:rPr>
        <w:t>Loukas</w:t>
      </w:r>
      <w:proofErr w:type="spellEnd"/>
      <w:r>
        <w:rPr>
          <w:color w:val="000000"/>
          <w:sz w:val="19"/>
          <w:szCs w:val="19"/>
        </w:rPr>
        <w:t xml:space="preserve"> </w:t>
      </w:r>
      <w:proofErr w:type="spellStart"/>
      <w:r>
        <w:rPr>
          <w:color w:val="000000"/>
          <w:sz w:val="19"/>
          <w:szCs w:val="19"/>
        </w:rPr>
        <w:t>Mistelis</w:t>
      </w:r>
      <w:proofErr w:type="spellEnd"/>
      <w:r>
        <w:rPr>
          <w:color w:val="000000"/>
          <w:sz w:val="19"/>
          <w:szCs w:val="19"/>
        </w:rPr>
        <w:t xml:space="preserve">, ‘Competition of Arbitral Seats’ in Miriam </w:t>
      </w:r>
      <w:proofErr w:type="spellStart"/>
      <w:r>
        <w:rPr>
          <w:color w:val="000000"/>
          <w:sz w:val="19"/>
          <w:szCs w:val="19"/>
        </w:rPr>
        <w:t>Goldby</w:t>
      </w:r>
      <w:proofErr w:type="spellEnd"/>
      <w:r>
        <w:rPr>
          <w:color w:val="000000"/>
          <w:sz w:val="19"/>
          <w:szCs w:val="19"/>
        </w:rPr>
        <w:t xml:space="preserve"> and </w:t>
      </w:r>
      <w:proofErr w:type="spellStart"/>
      <w:r>
        <w:rPr>
          <w:color w:val="000000"/>
          <w:sz w:val="19"/>
          <w:szCs w:val="19"/>
        </w:rPr>
        <w:t>Loukas</w:t>
      </w:r>
      <w:proofErr w:type="spellEnd"/>
      <w:r>
        <w:rPr>
          <w:color w:val="000000"/>
          <w:sz w:val="19"/>
          <w:szCs w:val="19"/>
        </w:rPr>
        <w:t xml:space="preserve"> </w:t>
      </w:r>
      <w:proofErr w:type="spellStart"/>
      <w:r>
        <w:rPr>
          <w:color w:val="000000"/>
          <w:sz w:val="19"/>
          <w:szCs w:val="19"/>
        </w:rPr>
        <w:t>Mistelis</w:t>
      </w:r>
      <w:proofErr w:type="spellEnd"/>
      <w:r>
        <w:rPr>
          <w:color w:val="000000"/>
          <w:sz w:val="19"/>
          <w:szCs w:val="19"/>
        </w:rPr>
        <w:t xml:space="preserve"> (</w:t>
      </w:r>
      <w:proofErr w:type="spellStart"/>
      <w:r>
        <w:rPr>
          <w:color w:val="000000"/>
          <w:sz w:val="19"/>
          <w:szCs w:val="19"/>
        </w:rPr>
        <w:t>eds</w:t>
      </w:r>
      <w:proofErr w:type="spellEnd"/>
      <w:r>
        <w:rPr>
          <w:color w:val="000000"/>
          <w:sz w:val="19"/>
          <w:szCs w:val="19"/>
        </w:rPr>
        <w:t xml:space="preserve">), </w:t>
      </w:r>
      <w:r>
        <w:rPr>
          <w:i/>
          <w:color w:val="000000"/>
          <w:sz w:val="19"/>
          <w:szCs w:val="19"/>
        </w:rPr>
        <w:t xml:space="preserve">The Role of Arbitration in Shipping Law </w:t>
      </w:r>
      <w:r>
        <w:rPr>
          <w:color w:val="000000"/>
          <w:sz w:val="19"/>
          <w:szCs w:val="19"/>
        </w:rPr>
        <w:t>(OUP 2016) 145.</w:t>
      </w:r>
    </w:p>
  </w:footnote>
  <w:footnote w:id="12">
    <w:p w14:paraId="59B6EBFD" w14:textId="0AFFA4A9" w:rsidR="006B716B" w:rsidRPr="006B716B" w:rsidRDefault="006B716B">
      <w:pPr>
        <w:pStyle w:val="FootnoteText"/>
        <w:rPr>
          <w:lang w:val="en-US"/>
        </w:rPr>
      </w:pPr>
      <w:r>
        <w:rPr>
          <w:rStyle w:val="FootnoteReference"/>
        </w:rPr>
        <w:footnoteRef/>
      </w:r>
      <w:r>
        <w:t xml:space="preserve"> </w:t>
      </w:r>
      <w:r>
        <w:rPr>
          <w:color w:val="000000"/>
          <w:sz w:val="32"/>
          <w:szCs w:val="32"/>
          <w:vertAlign w:val="subscript"/>
        </w:rPr>
        <w:t xml:space="preserve">Andreas Maurer ‘Transnational Shipping Law’ in Miriam </w:t>
      </w:r>
      <w:proofErr w:type="spellStart"/>
      <w:r>
        <w:rPr>
          <w:color w:val="000000"/>
          <w:sz w:val="32"/>
          <w:szCs w:val="32"/>
          <w:vertAlign w:val="subscript"/>
        </w:rPr>
        <w:t>Goldby</w:t>
      </w:r>
      <w:proofErr w:type="spellEnd"/>
      <w:r>
        <w:rPr>
          <w:color w:val="000000"/>
          <w:sz w:val="32"/>
          <w:szCs w:val="32"/>
          <w:vertAlign w:val="subscript"/>
        </w:rPr>
        <w:t xml:space="preserve"> and </w:t>
      </w:r>
      <w:proofErr w:type="spellStart"/>
      <w:r>
        <w:rPr>
          <w:color w:val="000000"/>
          <w:sz w:val="32"/>
          <w:szCs w:val="32"/>
          <w:vertAlign w:val="subscript"/>
        </w:rPr>
        <w:t>Loukas</w:t>
      </w:r>
      <w:proofErr w:type="spellEnd"/>
      <w:r>
        <w:rPr>
          <w:color w:val="000000"/>
          <w:sz w:val="32"/>
          <w:szCs w:val="32"/>
          <w:vertAlign w:val="subscript"/>
        </w:rPr>
        <w:t xml:space="preserve"> </w:t>
      </w:r>
      <w:proofErr w:type="spellStart"/>
      <w:r>
        <w:rPr>
          <w:color w:val="000000"/>
          <w:sz w:val="32"/>
          <w:szCs w:val="32"/>
          <w:vertAlign w:val="subscript"/>
        </w:rPr>
        <w:t>Mistelis</w:t>
      </w:r>
      <w:proofErr w:type="spellEnd"/>
      <w:r>
        <w:rPr>
          <w:color w:val="000000"/>
          <w:sz w:val="32"/>
          <w:szCs w:val="32"/>
          <w:vertAlign w:val="subscript"/>
        </w:rPr>
        <w:t xml:space="preserve"> (</w:t>
      </w:r>
      <w:proofErr w:type="spellStart"/>
      <w:r>
        <w:rPr>
          <w:color w:val="000000"/>
          <w:sz w:val="32"/>
          <w:szCs w:val="32"/>
          <w:vertAlign w:val="subscript"/>
        </w:rPr>
        <w:t>eds</w:t>
      </w:r>
      <w:proofErr w:type="spellEnd"/>
      <w:r>
        <w:rPr>
          <w:color w:val="000000"/>
          <w:sz w:val="32"/>
          <w:szCs w:val="32"/>
          <w:vertAlign w:val="subscript"/>
        </w:rPr>
        <w:t xml:space="preserve">), </w:t>
      </w:r>
      <w:r>
        <w:rPr>
          <w:i/>
          <w:color w:val="000000"/>
          <w:sz w:val="32"/>
          <w:szCs w:val="32"/>
          <w:vertAlign w:val="subscript"/>
        </w:rPr>
        <w:t xml:space="preserve">The Role of </w:t>
      </w:r>
      <w:r>
        <w:rPr>
          <w:i/>
          <w:color w:val="000000"/>
          <w:sz w:val="19"/>
          <w:szCs w:val="19"/>
        </w:rPr>
        <w:t xml:space="preserve">Arbitration in Shipping Law </w:t>
      </w:r>
      <w:r>
        <w:rPr>
          <w:color w:val="000000"/>
          <w:sz w:val="19"/>
          <w:szCs w:val="19"/>
        </w:rPr>
        <w:t>(OUP 2016) 236.</w:t>
      </w:r>
    </w:p>
  </w:footnote>
  <w:footnote w:id="13">
    <w:p w14:paraId="7F6368FA" w14:textId="3F06697B" w:rsidR="006B716B" w:rsidRPr="006B716B" w:rsidRDefault="006B716B">
      <w:pPr>
        <w:pStyle w:val="FootnoteText"/>
        <w:rPr>
          <w:lang w:val="en-US"/>
        </w:rPr>
      </w:pPr>
      <w:r>
        <w:rPr>
          <w:rStyle w:val="FootnoteReference"/>
        </w:rPr>
        <w:footnoteRef/>
      </w:r>
      <w:r>
        <w:t xml:space="preserve"> </w:t>
      </w:r>
      <w:proofErr w:type="spellStart"/>
      <w:r>
        <w:rPr>
          <w:color w:val="000000"/>
          <w:sz w:val="32"/>
          <w:szCs w:val="32"/>
          <w:vertAlign w:val="subscript"/>
        </w:rPr>
        <w:t>Leng</w:t>
      </w:r>
      <w:proofErr w:type="spellEnd"/>
      <w:r>
        <w:rPr>
          <w:color w:val="000000"/>
          <w:sz w:val="32"/>
          <w:szCs w:val="32"/>
          <w:vertAlign w:val="subscript"/>
        </w:rPr>
        <w:t xml:space="preserve"> Sun Chan, ‘Common Types of Shipping Arbitration in Singapore and London’ in Miriam </w:t>
      </w:r>
      <w:proofErr w:type="spellStart"/>
      <w:r>
        <w:rPr>
          <w:color w:val="000000"/>
          <w:sz w:val="32"/>
          <w:szCs w:val="32"/>
          <w:vertAlign w:val="subscript"/>
        </w:rPr>
        <w:t>Goldby</w:t>
      </w:r>
      <w:proofErr w:type="spellEnd"/>
      <w:r>
        <w:rPr>
          <w:color w:val="000000"/>
          <w:sz w:val="32"/>
          <w:szCs w:val="32"/>
          <w:vertAlign w:val="subscript"/>
        </w:rPr>
        <w:t xml:space="preserve"> </w:t>
      </w:r>
      <w:r>
        <w:rPr>
          <w:color w:val="000000"/>
          <w:sz w:val="19"/>
          <w:szCs w:val="19"/>
        </w:rPr>
        <w:t xml:space="preserve">and </w:t>
      </w:r>
      <w:proofErr w:type="spellStart"/>
      <w:r>
        <w:rPr>
          <w:color w:val="000000"/>
          <w:sz w:val="19"/>
          <w:szCs w:val="19"/>
        </w:rPr>
        <w:t>Loukas</w:t>
      </w:r>
      <w:proofErr w:type="spellEnd"/>
      <w:r>
        <w:rPr>
          <w:color w:val="000000"/>
          <w:sz w:val="19"/>
          <w:szCs w:val="19"/>
        </w:rPr>
        <w:t xml:space="preserve"> </w:t>
      </w:r>
      <w:proofErr w:type="spellStart"/>
      <w:r>
        <w:rPr>
          <w:color w:val="000000"/>
          <w:sz w:val="19"/>
          <w:szCs w:val="19"/>
        </w:rPr>
        <w:t>Mistelis</w:t>
      </w:r>
      <w:proofErr w:type="spellEnd"/>
      <w:r>
        <w:rPr>
          <w:color w:val="000000"/>
          <w:sz w:val="19"/>
          <w:szCs w:val="19"/>
        </w:rPr>
        <w:t xml:space="preserve"> (</w:t>
      </w:r>
      <w:proofErr w:type="spellStart"/>
      <w:proofErr w:type="gramStart"/>
      <w:r>
        <w:rPr>
          <w:color w:val="000000"/>
          <w:sz w:val="19"/>
          <w:szCs w:val="19"/>
        </w:rPr>
        <w:t>eds</w:t>
      </w:r>
      <w:proofErr w:type="spellEnd"/>
      <w:proofErr w:type="gramEnd"/>
      <w:r>
        <w:rPr>
          <w:color w:val="000000"/>
          <w:sz w:val="19"/>
          <w:szCs w:val="19"/>
        </w:rPr>
        <w:t xml:space="preserve">), </w:t>
      </w:r>
      <w:r>
        <w:rPr>
          <w:i/>
          <w:color w:val="000000"/>
          <w:sz w:val="19"/>
          <w:szCs w:val="19"/>
        </w:rPr>
        <w:t xml:space="preserve">The Role of Arbitration in Shipping Law </w:t>
      </w:r>
      <w:r>
        <w:rPr>
          <w:color w:val="000000"/>
          <w:sz w:val="19"/>
          <w:szCs w:val="19"/>
        </w:rPr>
        <w:t>(OUP 2016) 202.</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E30"/>
    <w:rsid w:val="006B716B"/>
    <w:rsid w:val="007A5E3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A7A0D6-376D-4B2A-94B6-508802605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CA" w:eastAsia="en-CA"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FootnoteText">
    <w:name w:val="footnote text"/>
    <w:basedOn w:val="Normal"/>
    <w:link w:val="FootnoteTextChar"/>
    <w:uiPriority w:val="99"/>
    <w:semiHidden/>
    <w:unhideWhenUsed/>
    <w:rsid w:val="006B716B"/>
    <w:pPr>
      <w:spacing w:line="240" w:lineRule="auto"/>
    </w:pPr>
    <w:rPr>
      <w:sz w:val="20"/>
      <w:szCs w:val="20"/>
    </w:rPr>
  </w:style>
  <w:style w:type="character" w:customStyle="1" w:styleId="FootnoteTextChar">
    <w:name w:val="Footnote Text Char"/>
    <w:basedOn w:val="DefaultParagraphFont"/>
    <w:link w:val="FootnoteText"/>
    <w:uiPriority w:val="99"/>
    <w:semiHidden/>
    <w:rsid w:val="006B716B"/>
    <w:rPr>
      <w:sz w:val="20"/>
      <w:szCs w:val="20"/>
    </w:rPr>
  </w:style>
  <w:style w:type="character" w:styleId="FootnoteReference">
    <w:name w:val="footnote reference"/>
    <w:basedOn w:val="DefaultParagraphFont"/>
    <w:uiPriority w:val="99"/>
    <w:semiHidden/>
    <w:unhideWhenUsed/>
    <w:rsid w:val="006B716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B70C91-7AFA-4B6E-9D95-9367A506C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641</Words>
  <Characters>3657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Mélisandre Shanks, Mlle</dc:creator>
  <cp:lastModifiedBy>Mélisandre Shanks, Mlle</cp:lastModifiedBy>
  <cp:revision>2</cp:revision>
  <dcterms:created xsi:type="dcterms:W3CDTF">2019-04-10T20:17:00Z</dcterms:created>
  <dcterms:modified xsi:type="dcterms:W3CDTF">2019-04-10T20:17:00Z</dcterms:modified>
</cp:coreProperties>
</file>