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Marzieh Tofighi Darian SJD- Harvard Law School mtofighidarian@sjd.law.harvard.edu </w:t>
      </w:r>
    </w:p>
    <w:p w14:paraId="00000002" w14:textId="77777777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right="4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Religion, Courts, and Constitutional Reasoning: </w:t>
      </w:r>
    </w:p>
    <w:p w14:paraId="00000003" w14:textId="77777777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The Efficacy of Constitutional Courts' Jurisprudence in Religiously </w:t>
      </w:r>
    </w:p>
    <w:p w14:paraId="00000004" w14:textId="77777777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Divided Societies </w:t>
      </w:r>
    </w:p>
    <w:p w14:paraId="00000005" w14:textId="77777777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8"/>
        <w:ind w:right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Key words: Divided societies, constitutional reasoning, incremental constitutionalism </w:t>
      </w:r>
    </w:p>
    <w:p w14:paraId="00000006" w14:textId="77777777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paper looks at one of the most critical sources of division in the Middle East, </w:t>
      </w:r>
    </w:p>
    <w:p w14:paraId="0000000D" w14:textId="6DC2C351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i.e., the polarization of secular and religious forces and contemplates on the role that </w:t>
      </w:r>
      <w:r>
        <w:rPr>
          <w:color w:val="000000"/>
          <w:sz w:val="24"/>
          <w:szCs w:val="24"/>
        </w:rPr>
        <w:t xml:space="preserve">constitutional courts play in addressing these divisions. The adoption of two constitutions </w:t>
      </w:r>
      <w:r>
        <w:rPr>
          <w:color w:val="000000"/>
          <w:sz w:val="24"/>
          <w:szCs w:val="24"/>
        </w:rPr>
        <w:t xml:space="preserve">in the span of two years in Egypt - one strengthening the legal position </w:t>
      </w:r>
      <w:r>
        <w:rPr>
          <w:color w:val="000000"/>
          <w:sz w:val="24"/>
          <w:szCs w:val="24"/>
        </w:rPr>
        <w:t xml:space="preserve">of Islam in the </w:t>
      </w:r>
      <w:r>
        <w:rPr>
          <w:color w:val="000000"/>
          <w:sz w:val="24"/>
          <w:szCs w:val="24"/>
        </w:rPr>
        <w:t xml:space="preserve">constitution and the other revoking all of the changes - and the battle of religious and </w:t>
      </w:r>
      <w:r>
        <w:rPr>
          <w:color w:val="000000"/>
          <w:sz w:val="24"/>
          <w:szCs w:val="24"/>
        </w:rPr>
        <w:t xml:space="preserve">secular groups over drafting the Tunisian constitution best illustrates the ongoing social, </w:t>
      </w:r>
      <w:r>
        <w:rPr>
          <w:color w:val="000000"/>
          <w:sz w:val="24"/>
          <w:szCs w:val="24"/>
        </w:rPr>
        <w:t xml:space="preserve">political and legal battle between these groups fighting over their competing visions of </w:t>
      </w:r>
      <w:r>
        <w:rPr>
          <w:color w:val="000000"/>
          <w:sz w:val="24"/>
          <w:szCs w:val="24"/>
        </w:rPr>
        <w:t xml:space="preserve">the state and their aspirations for shaping the constitutional systems of MENA countries. </w:t>
      </w:r>
    </w:p>
    <w:p w14:paraId="2FB41F51" w14:textId="77777777" w:rsidR="0090500E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color w:val="000000"/>
          <w:sz w:val="24"/>
          <w:szCs w:val="24"/>
        </w:rPr>
      </w:pPr>
    </w:p>
    <w:p w14:paraId="00000022" w14:textId="315547E6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Although, occasionally one group might triumph over the other, in the absence of a </w:t>
      </w:r>
      <w:r>
        <w:rPr>
          <w:color w:val="000000"/>
          <w:sz w:val="24"/>
          <w:szCs w:val="24"/>
        </w:rPr>
        <w:t xml:space="preserve">robust legal system addressing the concerns of both groups in this transitional time, there </w:t>
      </w:r>
      <w:r>
        <w:rPr>
          <w:color w:val="000000"/>
          <w:sz w:val="24"/>
          <w:szCs w:val="24"/>
        </w:rPr>
        <w:t xml:space="preserve">will be no prospect of political stability and we will keep witnessing the oscillation </w:t>
      </w:r>
      <w:r>
        <w:rPr>
          <w:color w:val="000000"/>
          <w:sz w:val="24"/>
          <w:szCs w:val="24"/>
        </w:rPr>
        <w:t xml:space="preserve">between the two extremes. In a region with not such strong tradition of judicial review, I </w:t>
      </w:r>
      <w:r>
        <w:rPr>
          <w:color w:val="000000"/>
          <w:sz w:val="24"/>
          <w:szCs w:val="24"/>
        </w:rPr>
        <w:t>argue that constitutional courts should take up a more activist and effectiv</w:t>
      </w:r>
      <w:r>
        <w:rPr>
          <w:color w:val="000000"/>
          <w:sz w:val="24"/>
          <w:szCs w:val="24"/>
        </w:rPr>
        <w:t xml:space="preserve">e role in </w:t>
      </w:r>
      <w:r>
        <w:rPr>
          <w:color w:val="000000"/>
          <w:sz w:val="24"/>
          <w:szCs w:val="24"/>
        </w:rPr>
        <w:t xml:space="preserve">mediating intra-religious tensions. The question posed here is twofold: the “why” and the </w:t>
      </w:r>
      <w:r>
        <w:rPr>
          <w:color w:val="000000"/>
          <w:sz w:val="24"/>
          <w:szCs w:val="24"/>
        </w:rPr>
        <w:t xml:space="preserve">“how”. </w:t>
      </w:r>
      <w:r>
        <w:rPr>
          <w:color w:val="000000"/>
          <w:sz w:val="40"/>
          <w:szCs w:val="40"/>
          <w:vertAlign w:val="subscript"/>
        </w:rPr>
        <w:t xml:space="preserve">The first part of the paper advances a case for incremental </w:t>
      </w:r>
      <w:r>
        <w:rPr>
          <w:color w:val="000000"/>
          <w:sz w:val="40"/>
          <w:szCs w:val="40"/>
          <w:vertAlign w:val="subscript"/>
        </w:rPr>
        <w:t xml:space="preserve">constitutionalism with </w:t>
      </w:r>
      <w:r>
        <w:rPr>
          <w:color w:val="000000"/>
          <w:sz w:val="24"/>
          <w:szCs w:val="24"/>
        </w:rPr>
        <w:t xml:space="preserve">regard to the role of religion in these divided societies. It argues that by removing the </w:t>
      </w:r>
      <w:r>
        <w:rPr>
          <w:color w:val="000000"/>
          <w:sz w:val="24"/>
          <w:szCs w:val="24"/>
        </w:rPr>
        <w:t xml:space="preserve">pressure to solve this issue, which is entangled with religious, political and </w:t>
      </w:r>
      <w:proofErr w:type="spellStart"/>
      <w:r>
        <w:rPr>
          <w:color w:val="000000"/>
          <w:sz w:val="24"/>
          <w:szCs w:val="24"/>
        </w:rPr>
        <w:t>identarian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complexities, at the constitutional moment and transferring it to the constitutional </w:t>
      </w:r>
      <w:r>
        <w:rPr>
          <w:color w:val="000000"/>
          <w:sz w:val="24"/>
          <w:szCs w:val="24"/>
        </w:rPr>
        <w:t xml:space="preserve">adjudication phase, these countries avoid deepening their intra-religious rifts and keep the </w:t>
      </w:r>
      <w:r>
        <w:rPr>
          <w:color w:val="000000"/>
          <w:sz w:val="24"/>
          <w:szCs w:val="24"/>
        </w:rPr>
        <w:t xml:space="preserve">door for further compromises open. I argue it is better to situate the controversy over the </w:t>
      </w:r>
      <w:r>
        <w:rPr>
          <w:color w:val="000000"/>
          <w:sz w:val="24"/>
          <w:szCs w:val="24"/>
        </w:rPr>
        <w:t xml:space="preserve">right vision of the state with respect to religion and the exact formulation of its role </w:t>
      </w:r>
      <w:r>
        <w:rPr>
          <w:color w:val="000000"/>
          <w:sz w:val="24"/>
          <w:szCs w:val="24"/>
        </w:rPr>
        <w:t xml:space="preserve">somewhere between the constitutional entrenchment and the ordinary politics of </w:t>
      </w:r>
      <w:r>
        <w:rPr>
          <w:color w:val="000000"/>
          <w:sz w:val="24"/>
          <w:szCs w:val="24"/>
        </w:rPr>
        <w:t xml:space="preserve">legislatures, which runs the higher risk of being captured by one extreme group. In the </w:t>
      </w:r>
      <w:r>
        <w:rPr>
          <w:color w:val="000000"/>
          <w:sz w:val="24"/>
          <w:szCs w:val="24"/>
        </w:rPr>
        <w:t xml:space="preserve">spectrum of potential parliaments moving toward more secular or more religious ends, </w:t>
      </w:r>
      <w:r>
        <w:rPr>
          <w:color w:val="000000"/>
          <w:sz w:val="24"/>
          <w:szCs w:val="24"/>
        </w:rPr>
        <w:t xml:space="preserve">the courts can act as a counterforce to draw the institutional lines (governmental agencies </w:t>
      </w:r>
      <w:r>
        <w:rPr>
          <w:color w:val="000000"/>
          <w:sz w:val="24"/>
          <w:szCs w:val="24"/>
        </w:rPr>
        <w:t xml:space="preserve">v. religious institutions, parliament v. other constitutional organs) and protect the </w:t>
      </w:r>
      <w:r>
        <w:rPr>
          <w:color w:val="000000"/>
          <w:sz w:val="24"/>
          <w:szCs w:val="24"/>
        </w:rPr>
        <w:t xml:space="preserve">individual rights. </w:t>
      </w:r>
    </w:p>
    <w:p w14:paraId="00000034" w14:textId="662B7318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Putting other factors involved in a well-functioning judicial system aside, this </w:t>
      </w:r>
      <w:r>
        <w:rPr>
          <w:color w:val="000000"/>
          <w:sz w:val="24"/>
          <w:szCs w:val="24"/>
        </w:rPr>
        <w:t xml:space="preserve">paper focuses on the constitutional reasoning of these courts and concludes that a shift </w:t>
      </w:r>
      <w:r>
        <w:rPr>
          <w:color w:val="000000"/>
          <w:sz w:val="24"/>
          <w:szCs w:val="24"/>
        </w:rPr>
        <w:t xml:space="preserve">toward a more standard-based method such as </w:t>
      </w:r>
      <w:r>
        <w:rPr>
          <w:i/>
          <w:color w:val="000000"/>
          <w:sz w:val="24"/>
          <w:szCs w:val="24"/>
        </w:rPr>
        <w:t xml:space="preserve">balancing </w:t>
      </w:r>
      <w:r>
        <w:rPr>
          <w:color w:val="000000"/>
          <w:sz w:val="24"/>
          <w:szCs w:val="24"/>
        </w:rPr>
        <w:t xml:space="preserve">as opposed to the more </w:t>
      </w:r>
      <w:r>
        <w:rPr>
          <w:color w:val="000000"/>
          <w:sz w:val="24"/>
          <w:szCs w:val="24"/>
        </w:rPr>
        <w:t xml:space="preserve">prevalent tradition of formalist reasoning in these countries is a way to perform the </w:t>
      </w:r>
      <w:r>
        <w:rPr>
          <w:color w:val="000000"/>
          <w:sz w:val="24"/>
          <w:szCs w:val="24"/>
        </w:rPr>
        <w:t xml:space="preserve">mediatory role more effectively. The paper does a critical study of the jurisprudence of </w:t>
      </w:r>
      <w:r>
        <w:rPr>
          <w:color w:val="000000"/>
          <w:sz w:val="24"/>
          <w:szCs w:val="24"/>
        </w:rPr>
        <w:t xml:space="preserve">the Egyptian Supreme Constitutional Court and decisions brought before the Turkish </w:t>
      </w:r>
      <w:r>
        <w:rPr>
          <w:color w:val="000000"/>
          <w:sz w:val="24"/>
          <w:szCs w:val="24"/>
        </w:rPr>
        <w:t xml:space="preserve">Constitutional Court and the jurisprudence of ECtHR on Turkey to see how effectively </w:t>
      </w:r>
      <w:r>
        <w:rPr>
          <w:color w:val="000000"/>
          <w:sz w:val="24"/>
          <w:szCs w:val="24"/>
        </w:rPr>
        <w:t xml:space="preserve">they have engaged with such questions that bring intra-religious tensions in these </w:t>
      </w:r>
      <w:r>
        <w:rPr>
          <w:color w:val="000000"/>
          <w:sz w:val="24"/>
          <w:szCs w:val="24"/>
        </w:rPr>
        <w:t xml:space="preserve">countries to the fore. The two courts demonstrate two very different models: the Egyptian </w:t>
      </w:r>
      <w:r>
        <w:rPr>
          <w:color w:val="000000"/>
          <w:sz w:val="24"/>
          <w:szCs w:val="24"/>
        </w:rPr>
        <w:t xml:space="preserve">court has to operate against a backdrop of a sharia clause entrenched in the constitution </w:t>
      </w:r>
      <w:r>
        <w:rPr>
          <w:color w:val="000000"/>
          <w:sz w:val="24"/>
          <w:szCs w:val="24"/>
        </w:rPr>
        <w:t>itself, while the Turkish constitutional court is operating in the context</w:t>
      </w:r>
      <w:r>
        <w:rPr>
          <w:color w:val="000000"/>
          <w:sz w:val="24"/>
          <w:szCs w:val="24"/>
        </w:rPr>
        <w:t xml:space="preserve"> of constitutional </w:t>
      </w:r>
      <w:r>
        <w:rPr>
          <w:color w:val="000000"/>
          <w:sz w:val="24"/>
          <w:szCs w:val="24"/>
        </w:rPr>
        <w:t xml:space="preserve">secularism. This has generated different types of cases that are ended up before these </w:t>
      </w:r>
      <w:r>
        <w:rPr>
          <w:color w:val="000000"/>
          <w:sz w:val="24"/>
          <w:szCs w:val="24"/>
        </w:rPr>
        <w:t xml:space="preserve">courts. For example, Turkish cases are formulated around religious liberty rights and the </w:t>
      </w:r>
      <w:r>
        <w:rPr>
          <w:color w:val="000000"/>
          <w:sz w:val="24"/>
          <w:szCs w:val="24"/>
        </w:rPr>
        <w:t xml:space="preserve">Egyptian court has to deal with questions of institutional boundaries and the scope of </w:t>
      </w:r>
      <w:r>
        <w:rPr>
          <w:color w:val="000000"/>
          <w:sz w:val="24"/>
          <w:szCs w:val="24"/>
        </w:rPr>
        <w:t xml:space="preserve">proper legislation that expands or contracts individual rights. There are overlapping areas </w:t>
      </w:r>
      <w:r>
        <w:rPr>
          <w:color w:val="000000"/>
          <w:sz w:val="24"/>
          <w:szCs w:val="24"/>
        </w:rPr>
        <w:t xml:space="preserve">between the two, as both courts have struggled with the ways to limit the electoral and </w:t>
      </w:r>
      <w:r>
        <w:rPr>
          <w:color w:val="000000"/>
          <w:sz w:val="24"/>
          <w:szCs w:val="24"/>
        </w:rPr>
        <w:t xml:space="preserve">democratic channels through party banning and even more brazenly dissolving </w:t>
      </w:r>
      <w:r>
        <w:rPr>
          <w:color w:val="000000"/>
          <w:sz w:val="24"/>
          <w:szCs w:val="24"/>
        </w:rPr>
        <w:t xml:space="preserve">parliaments in face of the rise of Islamic parties. </w:t>
      </w:r>
    </w:p>
    <w:p w14:paraId="00000039" w14:textId="20C70B66" w:rsidR="002A7C58" w:rsidRDefault="0090500E" w:rsidP="00905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paper concludes that despite the unpromising record of these two courts in </w:t>
      </w:r>
      <w:r>
        <w:rPr>
          <w:color w:val="000000"/>
          <w:sz w:val="24"/>
          <w:szCs w:val="24"/>
        </w:rPr>
        <w:t xml:space="preserve">confronting the religious-secular divide, the more engagement of the courts as well as </w:t>
      </w:r>
      <w:r>
        <w:rPr>
          <w:color w:val="000000"/>
          <w:sz w:val="24"/>
          <w:szCs w:val="24"/>
        </w:rPr>
        <w:t xml:space="preserve">their choice of the reasoning method can actually help the courts to be more effective </w:t>
      </w:r>
      <w:r>
        <w:rPr>
          <w:color w:val="000000"/>
          <w:sz w:val="24"/>
          <w:szCs w:val="24"/>
        </w:rPr>
        <w:t xml:space="preserve">actors to increase the internal and democratic deliberation, to prevent a total capture by </w:t>
      </w:r>
      <w:r>
        <w:rPr>
          <w:color w:val="000000"/>
          <w:sz w:val="24"/>
          <w:szCs w:val="24"/>
        </w:rPr>
        <w:t xml:space="preserve">one social force, and to produce a more moderate and accommodating jurisprudence. </w:t>
      </w:r>
    </w:p>
    <w:p w14:paraId="0000003A" w14:textId="2D875077" w:rsidR="002A7C58" w:rsidRDefault="002A7C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4"/>
        <w:ind w:left="8865" w:right="360"/>
        <w:rPr>
          <w:color w:val="000000"/>
          <w:sz w:val="24"/>
          <w:szCs w:val="24"/>
        </w:rPr>
      </w:pPr>
      <w:bookmarkStart w:id="0" w:name="_GoBack"/>
      <w:bookmarkEnd w:id="0"/>
    </w:p>
    <w:sectPr w:rsidR="002A7C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8"/>
    <w:rsid w:val="002A7C58"/>
    <w:rsid w:val="009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C0939-D0FC-4B10-A608-172358CB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Mélisandre Shanks, Mlle</dc:creator>
  <cp:lastModifiedBy>Mélisandre Shanks, Mlle</cp:lastModifiedBy>
  <cp:revision>2</cp:revision>
  <dcterms:created xsi:type="dcterms:W3CDTF">2019-04-10T19:11:00Z</dcterms:created>
  <dcterms:modified xsi:type="dcterms:W3CDTF">2019-04-10T19:11:00Z</dcterms:modified>
</cp:coreProperties>
</file>