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How Swiss Securities Law’s adaptation to EU standards will impact </w:t>
      </w:r>
    </w:p>
    <w:p w14:paraId="00000002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40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Security Token Offerings in Switzerland </w:t>
      </w:r>
    </w:p>
    <w:p w14:paraId="00000003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ind w:right="70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</w:t>
      </w:r>
      <w:proofErr w:type="spellStart"/>
      <w:r>
        <w:rPr>
          <w:color w:val="000000"/>
          <w:sz w:val="24"/>
          <w:szCs w:val="24"/>
        </w:rPr>
        <w:t>Matthieu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Gueissaz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4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83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MLaw</w:t>
      </w:r>
      <w:proofErr w:type="spellEnd"/>
      <w:r>
        <w:rPr>
          <w:color w:val="000000"/>
          <w:sz w:val="24"/>
          <w:szCs w:val="24"/>
        </w:rPr>
        <w:t xml:space="preserve"> (University of Fribourg, Switzerland) </w:t>
      </w:r>
    </w:p>
    <w:p w14:paraId="00000005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534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Affiliation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Blockchain</w:t>
      </w:r>
      <w:proofErr w:type="spellEnd"/>
      <w:r>
        <w:rPr>
          <w:color w:val="000000"/>
          <w:sz w:val="24"/>
          <w:szCs w:val="24"/>
        </w:rPr>
        <w:t xml:space="preserve"> Valley Ventures </w:t>
      </w:r>
    </w:p>
    <w:p w14:paraId="00000006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6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Seestrasse</w:t>
      </w:r>
      <w:proofErr w:type="spellEnd"/>
      <w:r>
        <w:rPr>
          <w:color w:val="000000"/>
          <w:sz w:val="24"/>
          <w:szCs w:val="24"/>
        </w:rPr>
        <w:t xml:space="preserve"> 71, 8700 </w:t>
      </w:r>
      <w:proofErr w:type="spellStart"/>
      <w:r>
        <w:rPr>
          <w:color w:val="000000"/>
          <w:sz w:val="24"/>
          <w:szCs w:val="24"/>
        </w:rPr>
        <w:t>Küsnacht</w:t>
      </w:r>
      <w:proofErr w:type="spellEnd"/>
      <w:r>
        <w:rPr>
          <w:color w:val="000000"/>
          <w:sz w:val="24"/>
          <w:szCs w:val="24"/>
        </w:rPr>
        <w:t xml:space="preserve"> (Switzerland) </w:t>
      </w:r>
    </w:p>
    <w:p w14:paraId="00000007" w14:textId="6E620EF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275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>:matthieu.gueissaz@gmail.com</w:t>
      </w:r>
    </w:p>
    <w:p w14:paraId="00000008" w14:textId="672F9974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48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Telephone</w:t>
      </w:r>
      <w:proofErr w:type="gramStart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+</w:t>
      </w:r>
      <w:proofErr w:type="gramEnd"/>
      <w:r>
        <w:rPr>
          <w:color w:val="000000"/>
          <w:sz w:val="24"/>
          <w:szCs w:val="24"/>
        </w:rPr>
        <w:t xml:space="preserve">41764096692 </w:t>
      </w:r>
    </w:p>
    <w:p w14:paraId="00000009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43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Key words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Blockchain</w:t>
      </w:r>
      <w:proofErr w:type="spellEnd"/>
      <w:r>
        <w:rPr>
          <w:color w:val="000000"/>
          <w:sz w:val="24"/>
          <w:szCs w:val="24"/>
        </w:rPr>
        <w:t xml:space="preserve">, Security Token Offering (STO), Securities Law, Switzerland, </w:t>
      </w:r>
    </w:p>
    <w:p w14:paraId="0000000A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6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European Union </w:t>
      </w:r>
    </w:p>
    <w:p w14:paraId="0000000B" w14:textId="77777777" w:rsidR="00F9441A" w:rsidRDefault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84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Abstract</w:t>
      </w:r>
      <w:r>
        <w:rPr>
          <w:color w:val="000000"/>
          <w:sz w:val="24"/>
          <w:szCs w:val="24"/>
        </w:rPr>
        <w:t xml:space="preserve">: </w:t>
      </w:r>
    </w:p>
    <w:p w14:paraId="00000013" w14:textId="1F1539A1" w:rsidR="00F9441A" w:rsidRDefault="00564602" w:rsidP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4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 Security Token Offerings (“STO”), </w:t>
      </w:r>
      <w:proofErr w:type="spellStart"/>
      <w:r>
        <w:rPr>
          <w:color w:val="000000"/>
          <w:sz w:val="24"/>
          <w:szCs w:val="24"/>
        </w:rPr>
        <w:t>blockchain</w:t>
      </w:r>
      <w:proofErr w:type="spellEnd"/>
      <w:r>
        <w:rPr>
          <w:color w:val="000000"/>
          <w:sz w:val="24"/>
          <w:szCs w:val="24"/>
        </w:rPr>
        <w:t xml:space="preserve">-based tokens - representing real- </w:t>
      </w:r>
      <w:r>
        <w:rPr>
          <w:color w:val="000000"/>
          <w:sz w:val="24"/>
          <w:szCs w:val="24"/>
        </w:rPr>
        <w:t xml:space="preserve">world assets as debt or equity claim on the issuer - are issued. In light of their economic </w:t>
      </w:r>
      <w:r>
        <w:rPr>
          <w:color w:val="000000"/>
          <w:sz w:val="24"/>
          <w:szCs w:val="24"/>
        </w:rPr>
        <w:t xml:space="preserve">function, security tokens are analogous to equities, bonds or derivatives. These tokens </w:t>
      </w:r>
      <w:r>
        <w:rPr>
          <w:color w:val="000000"/>
          <w:sz w:val="24"/>
          <w:szCs w:val="24"/>
        </w:rPr>
        <w:t xml:space="preserve">are considered securities in the eyes of Swiss financial securities regulation. Because of </w:t>
      </w:r>
      <w:r>
        <w:rPr>
          <w:color w:val="000000"/>
          <w:sz w:val="24"/>
          <w:szCs w:val="24"/>
        </w:rPr>
        <w:t>t</w:t>
      </w:r>
      <w:bookmarkStart w:id="0" w:name="_GoBack"/>
      <w:bookmarkEnd w:id="0"/>
      <w:r>
        <w:rPr>
          <w:color w:val="000000"/>
          <w:sz w:val="24"/>
          <w:szCs w:val="24"/>
        </w:rPr>
        <w:t>heir qualification as securities, the issuance of such tokens is subject t</w:t>
      </w:r>
      <w:r>
        <w:rPr>
          <w:color w:val="000000"/>
          <w:sz w:val="24"/>
          <w:szCs w:val="24"/>
        </w:rPr>
        <w:t xml:space="preserve">o securities law </w:t>
      </w:r>
      <w:r>
        <w:rPr>
          <w:color w:val="000000"/>
          <w:sz w:val="24"/>
          <w:szCs w:val="24"/>
        </w:rPr>
        <w:t xml:space="preserve">much like traditional security offerings. In this paper, I analyze securities law from the </w:t>
      </w:r>
      <w:r>
        <w:rPr>
          <w:color w:val="000000"/>
          <w:sz w:val="24"/>
          <w:szCs w:val="24"/>
        </w:rPr>
        <w:t xml:space="preserve">STO perspective, taking into consideration the different possible forms such security </w:t>
      </w:r>
      <w:r>
        <w:rPr>
          <w:color w:val="000000"/>
          <w:sz w:val="24"/>
          <w:szCs w:val="24"/>
        </w:rPr>
        <w:t xml:space="preserve">tokens, as well as the method of their distribution to investors. </w:t>
      </w:r>
    </w:p>
    <w:p w14:paraId="0000001F" w14:textId="216AF4CA" w:rsidR="00F9441A" w:rsidRDefault="00564602" w:rsidP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Switzerland’s securities regulation is undergoing a major transformation. The Federal </w:t>
      </w:r>
      <w:r>
        <w:rPr>
          <w:color w:val="000000"/>
          <w:sz w:val="24"/>
          <w:szCs w:val="24"/>
        </w:rPr>
        <w:t>Act on Financial Services (“</w:t>
      </w:r>
      <w:proofErr w:type="spellStart"/>
      <w:r>
        <w:rPr>
          <w:color w:val="000000"/>
          <w:sz w:val="24"/>
          <w:szCs w:val="24"/>
        </w:rPr>
        <w:t>FinSA</w:t>
      </w:r>
      <w:proofErr w:type="spellEnd"/>
      <w:r>
        <w:rPr>
          <w:color w:val="000000"/>
          <w:sz w:val="24"/>
          <w:szCs w:val="24"/>
        </w:rPr>
        <w:t xml:space="preserve">”) has been adopted on 15 June 2018 and will enter </w:t>
      </w:r>
      <w:r>
        <w:rPr>
          <w:color w:val="000000"/>
          <w:sz w:val="24"/>
          <w:szCs w:val="24"/>
        </w:rPr>
        <w:t>into force on 1 January 2020. The draft Ordinance of Financial Services (“</w:t>
      </w:r>
      <w:proofErr w:type="spellStart"/>
      <w:r>
        <w:rPr>
          <w:color w:val="000000"/>
          <w:sz w:val="24"/>
          <w:szCs w:val="24"/>
        </w:rPr>
        <w:t>FinSO</w:t>
      </w:r>
      <w:proofErr w:type="spellEnd"/>
      <w:r>
        <w:rPr>
          <w:color w:val="000000"/>
          <w:sz w:val="24"/>
          <w:szCs w:val="24"/>
        </w:rPr>
        <w:t xml:space="preserve">”), </w:t>
      </w:r>
      <w:r>
        <w:rPr>
          <w:color w:val="000000"/>
          <w:sz w:val="24"/>
          <w:szCs w:val="24"/>
        </w:rPr>
        <w:t xml:space="preserve">published in October 2018, is currently in consultation until 6 February 2019 and is </w:t>
      </w:r>
      <w:r>
        <w:rPr>
          <w:color w:val="000000"/>
          <w:sz w:val="24"/>
          <w:szCs w:val="24"/>
        </w:rPr>
        <w:t xml:space="preserve">expected to enter into force at the same time as the </w:t>
      </w:r>
      <w:proofErr w:type="spellStart"/>
      <w:r>
        <w:rPr>
          <w:color w:val="000000"/>
          <w:sz w:val="24"/>
          <w:szCs w:val="24"/>
        </w:rPr>
        <w:t>FinSA</w:t>
      </w:r>
      <w:proofErr w:type="spellEnd"/>
      <w:r>
        <w:rPr>
          <w:color w:val="000000"/>
          <w:sz w:val="24"/>
          <w:szCs w:val="24"/>
        </w:rPr>
        <w:t xml:space="preserve">. The </w:t>
      </w:r>
      <w:proofErr w:type="spellStart"/>
      <w:r>
        <w:rPr>
          <w:color w:val="000000"/>
          <w:sz w:val="24"/>
          <w:szCs w:val="24"/>
        </w:rPr>
        <w:t>FinSA</w:t>
      </w:r>
      <w:proofErr w:type="spellEnd"/>
      <w:r>
        <w:rPr>
          <w:color w:val="000000"/>
          <w:sz w:val="24"/>
          <w:szCs w:val="24"/>
        </w:rPr>
        <w:t xml:space="preserve"> and the </w:t>
      </w:r>
      <w:proofErr w:type="spellStart"/>
      <w:r>
        <w:rPr>
          <w:color w:val="000000"/>
          <w:sz w:val="24"/>
          <w:szCs w:val="24"/>
        </w:rPr>
        <w:t>FinSO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considerably modify and update the following aspects of the public offering of securities: </w:t>
      </w:r>
      <w:r>
        <w:rPr>
          <w:color w:val="000000"/>
          <w:sz w:val="24"/>
          <w:szCs w:val="24"/>
        </w:rPr>
        <w:t xml:space="preserve">the prospectus publication requirements, the conditions of publication exemptions, the </w:t>
      </w:r>
      <w:r>
        <w:rPr>
          <w:color w:val="000000"/>
          <w:sz w:val="24"/>
          <w:szCs w:val="24"/>
        </w:rPr>
        <w:t>content and structure of the prospectus, as well as the prospectus review</w:t>
      </w:r>
      <w:r>
        <w:rPr>
          <w:color w:val="000000"/>
          <w:sz w:val="24"/>
          <w:szCs w:val="24"/>
        </w:rPr>
        <w:t xml:space="preserve"> and liability </w:t>
      </w:r>
      <w:r>
        <w:rPr>
          <w:color w:val="000000"/>
          <w:sz w:val="24"/>
          <w:szCs w:val="24"/>
        </w:rPr>
        <w:t xml:space="preserve">regime. I first compare the new Swiss Securities Law to the existing regime from a </w:t>
      </w:r>
      <w:r>
        <w:rPr>
          <w:color w:val="000000"/>
          <w:sz w:val="24"/>
          <w:szCs w:val="24"/>
        </w:rPr>
        <w:t xml:space="preserve">historical standpoint and point out the advantages and disadvantages for STOs in the </w:t>
      </w:r>
      <w:r>
        <w:rPr>
          <w:color w:val="000000"/>
          <w:sz w:val="24"/>
          <w:szCs w:val="24"/>
        </w:rPr>
        <w:t xml:space="preserve">future. </w:t>
      </w:r>
    </w:p>
    <w:p w14:paraId="00000024" w14:textId="6C1FAF2D" w:rsidR="00F9441A" w:rsidRDefault="00564602" w:rsidP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modernization of the Swiss securities law heavily leans on international standards, </w:t>
      </w:r>
      <w:r>
        <w:rPr>
          <w:color w:val="000000"/>
          <w:sz w:val="24"/>
          <w:szCs w:val="24"/>
        </w:rPr>
        <w:t xml:space="preserve">in particular it adapts Swiss standards to the harmonized EU prospectus law. Using the </w:t>
      </w:r>
      <w:r>
        <w:rPr>
          <w:color w:val="000000"/>
          <w:sz w:val="24"/>
          <w:szCs w:val="24"/>
        </w:rPr>
        <w:t xml:space="preserve">functional method, I then compare the </w:t>
      </w:r>
      <w:proofErr w:type="spellStart"/>
      <w:r>
        <w:rPr>
          <w:color w:val="000000"/>
          <w:sz w:val="24"/>
          <w:szCs w:val="24"/>
        </w:rPr>
        <w:t>FinSA</w:t>
      </w:r>
      <w:proofErr w:type="spellEnd"/>
      <w:r>
        <w:rPr>
          <w:color w:val="000000"/>
          <w:sz w:val="24"/>
          <w:szCs w:val="24"/>
        </w:rPr>
        <w:t xml:space="preserve"> and the </w:t>
      </w:r>
      <w:proofErr w:type="spellStart"/>
      <w:r>
        <w:rPr>
          <w:color w:val="000000"/>
          <w:sz w:val="24"/>
          <w:szCs w:val="24"/>
        </w:rPr>
        <w:t>FinSO</w:t>
      </w:r>
      <w:proofErr w:type="spellEnd"/>
      <w:r>
        <w:rPr>
          <w:color w:val="000000"/>
          <w:sz w:val="24"/>
          <w:szCs w:val="24"/>
        </w:rPr>
        <w:t xml:space="preserve"> to the EU prospectus </w:t>
      </w:r>
      <w:r>
        <w:rPr>
          <w:color w:val="000000"/>
          <w:sz w:val="24"/>
          <w:szCs w:val="24"/>
        </w:rPr>
        <w:t xml:space="preserve">regulation in order to draw conclusions in regard to the interoperability of future Swiss </w:t>
      </w:r>
      <w:r>
        <w:rPr>
          <w:color w:val="000000"/>
          <w:sz w:val="24"/>
          <w:szCs w:val="24"/>
        </w:rPr>
        <w:t xml:space="preserve">and European prospectus for STO’s. </w:t>
      </w:r>
    </w:p>
    <w:p w14:paraId="0000002A" w14:textId="4F108BCF" w:rsidR="00F9441A" w:rsidRDefault="00564602" w:rsidP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modernization effort has been triggered by Switzerland’s need to gain better access </w:t>
      </w:r>
      <w:r>
        <w:rPr>
          <w:color w:val="000000"/>
          <w:sz w:val="24"/>
          <w:szCs w:val="24"/>
        </w:rPr>
        <w:t xml:space="preserve">to the European financial markets. STOs mostly aim to reach investors internationally. </w:t>
      </w:r>
      <w:r>
        <w:rPr>
          <w:color w:val="000000"/>
          <w:sz w:val="24"/>
          <w:szCs w:val="24"/>
        </w:rPr>
        <w:t xml:space="preserve">The choice of jurisdiction for an STO is greatly influenced by the possible market which </w:t>
      </w:r>
      <w:r>
        <w:rPr>
          <w:color w:val="000000"/>
          <w:sz w:val="24"/>
          <w:szCs w:val="24"/>
        </w:rPr>
        <w:t>can be targeted by the public offering. Further, I analyze from a macro perspe</w:t>
      </w:r>
      <w:r>
        <w:rPr>
          <w:color w:val="000000"/>
          <w:sz w:val="24"/>
          <w:szCs w:val="24"/>
        </w:rPr>
        <w:t xml:space="preserve">ctive if this </w:t>
      </w:r>
      <w:r>
        <w:rPr>
          <w:color w:val="000000"/>
          <w:sz w:val="24"/>
          <w:szCs w:val="24"/>
        </w:rPr>
        <w:t xml:space="preserve">harmonization effort will enable STOs, issuing their tokens from Switzerland, to access </w:t>
      </w:r>
      <w:r>
        <w:rPr>
          <w:color w:val="000000"/>
          <w:sz w:val="24"/>
          <w:szCs w:val="24"/>
        </w:rPr>
        <w:t xml:space="preserve">the European market with a single prospectus. </w:t>
      </w:r>
    </w:p>
    <w:p w14:paraId="00000030" w14:textId="2BCBA979" w:rsidR="00F9441A" w:rsidRDefault="00564602" w:rsidP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Liechtenstein, Switzerland’s very close neighbor, has already adapted its securities law </w:t>
      </w:r>
      <w:r>
        <w:rPr>
          <w:color w:val="000000"/>
          <w:sz w:val="24"/>
          <w:szCs w:val="24"/>
        </w:rPr>
        <w:t xml:space="preserve">to EU standards. Thanks to its access to the European market, as well as its favorable </w:t>
      </w:r>
      <w:r>
        <w:rPr>
          <w:color w:val="000000"/>
          <w:sz w:val="24"/>
          <w:szCs w:val="24"/>
        </w:rPr>
        <w:t xml:space="preserve">regulatory attitude towards distributed ledger technology, Liechtenstein has attracted </w:t>
      </w:r>
      <w:r>
        <w:rPr>
          <w:color w:val="000000"/>
          <w:sz w:val="24"/>
          <w:szCs w:val="24"/>
        </w:rPr>
        <w:t xml:space="preserve">many utility and security token offerings. Taking into account the experiences of the </w:t>
      </w:r>
      <w:r>
        <w:rPr>
          <w:color w:val="000000"/>
          <w:sz w:val="24"/>
          <w:szCs w:val="24"/>
        </w:rPr>
        <w:t xml:space="preserve">Liechtenstein market, I make predictions as to the effect of the new </w:t>
      </w:r>
      <w:proofErr w:type="spellStart"/>
      <w:r>
        <w:rPr>
          <w:color w:val="000000"/>
          <w:sz w:val="24"/>
          <w:szCs w:val="24"/>
        </w:rPr>
        <w:t>FinSA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FinSO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on Switzerland as a STO market. </w:t>
      </w:r>
    </w:p>
    <w:p w14:paraId="00000035" w14:textId="56A7290D" w:rsidR="00F9441A" w:rsidRDefault="00564602" w:rsidP="00564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2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the new regulation will only enter into force in 2020, it could have consequences </w:t>
      </w:r>
      <w:r>
        <w:rPr>
          <w:color w:val="000000"/>
          <w:sz w:val="24"/>
          <w:szCs w:val="24"/>
        </w:rPr>
        <w:t xml:space="preserve">on ongoing or planned STO’s in 2019. I therefore finish my paper with </w:t>
      </w:r>
      <w:r>
        <w:rPr>
          <w:color w:val="000000"/>
          <w:sz w:val="24"/>
          <w:szCs w:val="24"/>
        </w:rPr>
        <w:t xml:space="preserve">recommendations for companies intending to launch an STO between now and 2020. In </w:t>
      </w:r>
      <w:r>
        <w:rPr>
          <w:color w:val="000000"/>
          <w:sz w:val="24"/>
          <w:szCs w:val="24"/>
        </w:rPr>
        <w:t>doing so, I t</w:t>
      </w:r>
      <w:r>
        <w:rPr>
          <w:color w:val="000000"/>
          <w:sz w:val="24"/>
          <w:szCs w:val="24"/>
        </w:rPr>
        <w:t xml:space="preserve">ake into account the different possible forms of security tokens, the targeted </w:t>
      </w:r>
      <w:r>
        <w:rPr>
          <w:color w:val="000000"/>
          <w:sz w:val="24"/>
          <w:szCs w:val="24"/>
        </w:rPr>
        <w:t xml:space="preserve">investor groups and the economics of an STO. </w:t>
      </w:r>
    </w:p>
    <w:p w14:paraId="00000036" w14:textId="65DEACEA" w:rsidR="00F9441A" w:rsidRDefault="00F94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4"/>
        <w:ind w:left="9240"/>
        <w:rPr>
          <w:color w:val="000000"/>
          <w:sz w:val="24"/>
          <w:szCs w:val="24"/>
        </w:rPr>
      </w:pPr>
    </w:p>
    <w:sectPr w:rsidR="00F944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A"/>
    <w:rsid w:val="00564602"/>
    <w:rsid w:val="00F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4E1F6-002E-42A6-879E-BDE61292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2019-04-10T17:14:00Z</dcterms:created>
  <dcterms:modified xsi:type="dcterms:W3CDTF">2019-04-10T17:14:00Z</dcterms:modified>
</cp:coreProperties>
</file>