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595E9" w14:textId="77777777" w:rsidR="00156290" w:rsidRDefault="00156290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1641"/>
        <w:rPr>
          <w:color w:val="000000"/>
        </w:rPr>
      </w:pPr>
      <w:r>
        <w:rPr>
          <w:color w:val="000000"/>
        </w:rPr>
        <w:t xml:space="preserve">Michał Wiącek, PhD Candidate </w:t>
      </w:r>
      <w:r w:rsidR="003D05BC">
        <w:rPr>
          <w:color w:val="000000"/>
        </w:rPr>
        <w:t>Faculty</w:t>
      </w:r>
      <w:r>
        <w:rPr>
          <w:color w:val="000000"/>
        </w:rPr>
        <w:t xml:space="preserve"> </w:t>
      </w:r>
      <w:r w:rsidR="003D05BC">
        <w:rPr>
          <w:color w:val="000000"/>
        </w:rPr>
        <w:t>of</w:t>
      </w:r>
      <w:r>
        <w:rPr>
          <w:color w:val="000000"/>
        </w:rPr>
        <w:t xml:space="preserve"> </w:t>
      </w:r>
      <w:r w:rsidR="003D05BC">
        <w:rPr>
          <w:color w:val="000000"/>
        </w:rPr>
        <w:t>Law</w:t>
      </w:r>
      <w:r>
        <w:rPr>
          <w:color w:val="000000"/>
        </w:rPr>
        <w:t xml:space="preserve"> </w:t>
      </w:r>
      <w:r w:rsidR="003D05BC">
        <w:rPr>
          <w:color w:val="000000"/>
        </w:rPr>
        <w:t>University</w:t>
      </w:r>
      <w:r>
        <w:rPr>
          <w:color w:val="000000"/>
        </w:rPr>
        <w:t xml:space="preserve"> of Warsaw</w:t>
      </w:r>
      <w:r w:rsidR="003D05BC">
        <w:rPr>
          <w:color w:val="000000"/>
        </w:rPr>
        <w:t xml:space="preserve"> </w:t>
      </w:r>
    </w:p>
    <w:p w14:paraId="00000001" w14:textId="1608C129" w:rsidR="008D4496" w:rsidRDefault="00156290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1641"/>
        <w:rPr>
          <w:b/>
          <w:color w:val="000000"/>
          <w:sz w:val="36"/>
          <w:szCs w:val="36"/>
          <w:vertAlign w:val="subscript"/>
        </w:rPr>
      </w:pPr>
      <w:r>
        <w:rPr>
          <w:b/>
          <w:color w:val="000000"/>
          <w:sz w:val="36"/>
          <w:szCs w:val="36"/>
          <w:vertAlign w:val="subscript"/>
        </w:rPr>
        <w:t xml:space="preserve">National judge </w:t>
      </w:r>
      <w:r w:rsidR="003D05BC">
        <w:rPr>
          <w:b/>
          <w:color w:val="000000"/>
          <w:sz w:val="36"/>
          <w:szCs w:val="36"/>
          <w:vertAlign w:val="subscript"/>
        </w:rPr>
        <w:t>of</w:t>
      </w:r>
      <w:r>
        <w:rPr>
          <w:b/>
          <w:color w:val="000000"/>
          <w:sz w:val="36"/>
          <w:szCs w:val="36"/>
          <w:vertAlign w:val="subscript"/>
        </w:rPr>
        <w:t xml:space="preserve"> </w:t>
      </w:r>
      <w:r w:rsidR="003D05BC">
        <w:rPr>
          <w:b/>
          <w:color w:val="000000"/>
          <w:sz w:val="36"/>
          <w:szCs w:val="36"/>
          <w:vertAlign w:val="subscript"/>
        </w:rPr>
        <w:t>the</w:t>
      </w:r>
      <w:r>
        <w:rPr>
          <w:b/>
          <w:color w:val="000000"/>
          <w:sz w:val="36"/>
          <w:szCs w:val="36"/>
          <w:vertAlign w:val="subscript"/>
        </w:rPr>
        <w:t xml:space="preserve"> </w:t>
      </w:r>
      <w:r w:rsidR="003D05BC">
        <w:rPr>
          <w:b/>
          <w:color w:val="000000"/>
          <w:sz w:val="36"/>
          <w:szCs w:val="36"/>
          <w:vertAlign w:val="subscript"/>
        </w:rPr>
        <w:t>EU</w:t>
      </w:r>
      <w:r>
        <w:rPr>
          <w:b/>
          <w:color w:val="000000"/>
          <w:sz w:val="36"/>
          <w:szCs w:val="36"/>
          <w:vertAlign w:val="subscript"/>
        </w:rPr>
        <w:t xml:space="preserve"> </w:t>
      </w:r>
      <w:r w:rsidR="003D05BC">
        <w:rPr>
          <w:b/>
          <w:color w:val="000000"/>
          <w:sz w:val="36"/>
          <w:szCs w:val="36"/>
          <w:vertAlign w:val="subscript"/>
        </w:rPr>
        <w:t>member</w:t>
      </w:r>
      <w:r w:rsidR="003D05BC">
        <w:rPr>
          <w:b/>
          <w:color w:val="000000"/>
          <w:sz w:val="36"/>
          <w:szCs w:val="36"/>
          <w:vertAlign w:val="subscript"/>
        </w:rPr>
        <w:tab/>
        <w:t xml:space="preserve"> </w:t>
      </w:r>
      <w:r>
        <w:rPr>
          <w:b/>
          <w:color w:val="000000"/>
          <w:sz w:val="36"/>
          <w:szCs w:val="36"/>
          <w:vertAlign w:val="subscript"/>
        </w:rPr>
        <w:t>state and mixed jurisdiction</w:t>
      </w:r>
    </w:p>
    <w:p w14:paraId="00000002" w14:textId="655FA7FC" w:rsidR="008D4496" w:rsidRDefault="003D05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7"/>
        <w:ind w:left="-19" w:right="-76"/>
        <w:jc w:val="both"/>
        <w:rPr>
          <w:color w:val="000000"/>
        </w:rPr>
      </w:pPr>
      <w:r>
        <w:rPr>
          <w:color w:val="000000"/>
        </w:rPr>
        <w:t>In</w:t>
      </w:r>
      <w:r w:rsidR="00156290">
        <w:rPr>
          <w:color w:val="000000"/>
        </w:rPr>
        <w:t xml:space="preserve"> early </w:t>
      </w:r>
      <w:r>
        <w:rPr>
          <w:color w:val="000000"/>
        </w:rPr>
        <w:t>2000,</w:t>
      </w:r>
      <w:r>
        <w:rPr>
          <w:color w:val="000000"/>
        </w:rPr>
        <w:t xml:space="preserve"> prof.</w:t>
      </w:r>
      <w:r>
        <w:rPr>
          <w:color w:val="000000"/>
        </w:rPr>
        <w:t xml:space="preserve"> William</w:t>
      </w:r>
      <w:r w:rsidR="00156290">
        <w:rPr>
          <w:color w:val="000000"/>
        </w:rPr>
        <w:t xml:space="preserve"> </w:t>
      </w:r>
      <w:r>
        <w:rPr>
          <w:color w:val="000000"/>
        </w:rPr>
        <w:t>Tetley</w:t>
      </w:r>
      <w:r w:rsidR="00156290">
        <w:rPr>
          <w:color w:val="000000"/>
        </w:rPr>
        <w:t xml:space="preserve"> </w:t>
      </w:r>
      <w:r>
        <w:rPr>
          <w:color w:val="000000"/>
        </w:rPr>
        <w:t>asked</w:t>
      </w:r>
      <w:r w:rsidR="00156290">
        <w:rPr>
          <w:color w:val="000000"/>
        </w:rPr>
        <w:t xml:space="preserve"> </w:t>
      </w:r>
      <w:r>
        <w:rPr>
          <w:color w:val="000000"/>
        </w:rPr>
        <w:t>if</w:t>
      </w:r>
      <w:r w:rsidR="00156290">
        <w:rPr>
          <w:color w:val="000000"/>
        </w:rPr>
        <w:t xml:space="preserve"> </w:t>
      </w:r>
      <w:r>
        <w:rPr>
          <w:color w:val="000000"/>
        </w:rPr>
        <w:t>the</w:t>
      </w:r>
      <w:r w:rsidR="00156290">
        <w:rPr>
          <w:color w:val="000000"/>
        </w:rPr>
        <w:t xml:space="preserve"> </w:t>
      </w:r>
      <w:r>
        <w:rPr>
          <w:color w:val="000000"/>
        </w:rPr>
        <w:t>European</w:t>
      </w:r>
      <w:r w:rsidR="00156290">
        <w:rPr>
          <w:color w:val="000000"/>
        </w:rPr>
        <w:t xml:space="preserve"> </w:t>
      </w:r>
      <w:r>
        <w:rPr>
          <w:color w:val="000000"/>
        </w:rPr>
        <w:t>Union</w:t>
      </w:r>
      <w:r w:rsidR="00156290">
        <w:rPr>
          <w:color w:val="000000"/>
        </w:rPr>
        <w:t xml:space="preserve"> </w:t>
      </w:r>
      <w:r>
        <w:rPr>
          <w:color w:val="000000"/>
        </w:rPr>
        <w:t>was</w:t>
      </w:r>
      <w:r w:rsidR="00156290">
        <w:rPr>
          <w:color w:val="000000"/>
        </w:rPr>
        <w:t xml:space="preserve"> </w:t>
      </w:r>
      <w:r>
        <w:rPr>
          <w:color w:val="000000"/>
        </w:rPr>
        <w:t>a</w:t>
      </w:r>
      <w:r w:rsidR="00156290">
        <w:rPr>
          <w:color w:val="000000"/>
        </w:rPr>
        <w:t xml:space="preserve"> mixed jurisdiction or was becoming a mixed jurisdiction</w:t>
      </w:r>
      <w:r>
        <w:rPr>
          <w:rStyle w:val="FootnoteReference"/>
          <w:color w:val="000000"/>
        </w:rPr>
        <w:footnoteReference w:id="1"/>
      </w:r>
      <w:r w:rsidR="00156290">
        <w:rPr>
          <w:color w:val="000000"/>
        </w:rPr>
        <w:t xml:space="preserve">. In the paper, I re-answer to this question by focusing on national judges and applying recent case law of the </w:t>
      </w:r>
      <w:proofErr w:type="spellStart"/>
      <w:r w:rsidR="00156290">
        <w:rPr>
          <w:color w:val="000000"/>
        </w:rPr>
        <w:t>Cour</w:t>
      </w:r>
      <w:proofErr w:type="spellEnd"/>
      <w:r w:rsidR="00156290">
        <w:rPr>
          <w:color w:val="000000"/>
        </w:rPr>
        <w:t xml:space="preserve"> of Justice on the European Union (CJEU). The status of national judges within the European Union evolves from the early 1960s and at least since February 2018 is a centre of attention for the CJEU. The possibility to ask a referral question by a judge for lower court directly to the CJEU was a founding factor of the EU success story.</w:t>
      </w:r>
      <w:r>
        <w:rPr>
          <w:color w:val="000000"/>
        </w:rPr>
        <w:t xml:space="preserve"> </w:t>
      </w:r>
    </w:p>
    <w:p w14:paraId="00000003" w14:textId="5728C360" w:rsidR="008D4496" w:rsidRDefault="00156290" w:rsidP="003D05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17" w:right="-74"/>
        <w:jc w:val="both"/>
        <w:rPr>
          <w:color w:val="000000"/>
        </w:rPr>
      </w:pPr>
      <w:r>
        <w:rPr>
          <w:color w:val="000000"/>
        </w:rPr>
        <w:t xml:space="preserve">Therefore, the for the one hand, I will study the role of a judge and on the other hand the perception of a national judge adjudicating within the </w:t>
      </w:r>
      <w:r w:rsidR="003D05BC">
        <w:rPr>
          <w:color w:val="000000"/>
        </w:rPr>
        <w:t>courts</w:t>
      </w:r>
      <w:r>
        <w:rPr>
          <w:color w:val="000000"/>
        </w:rPr>
        <w:t xml:space="preserve"> of general jurisdiction in EU member states. I will focus on recent judgments of the EU Court of Justice in cases C-64/16, </w:t>
      </w:r>
      <w:proofErr w:type="spellStart"/>
      <w:r w:rsidR="003D05BC">
        <w:rPr>
          <w:color w:val="000000"/>
        </w:rPr>
        <w:t>A</w:t>
      </w:r>
      <w:r>
        <w:rPr>
          <w:i/>
          <w:color w:val="000000"/>
        </w:rPr>
        <w:t>ssociação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Sindical</w:t>
      </w:r>
      <w:proofErr w:type="spellEnd"/>
      <w:r>
        <w:rPr>
          <w:i/>
          <w:color w:val="000000"/>
        </w:rPr>
        <w:t xml:space="preserve"> dos </w:t>
      </w:r>
      <w:proofErr w:type="spellStart"/>
      <w:r>
        <w:rPr>
          <w:i/>
          <w:color w:val="000000"/>
        </w:rPr>
        <w:t>Juízes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Portugueses</w:t>
      </w:r>
      <w:proofErr w:type="spellEnd"/>
      <w:r>
        <w:rPr>
          <w:i/>
          <w:color w:val="000000"/>
        </w:rPr>
        <w:t xml:space="preserve"> vs Tribunal de </w:t>
      </w:r>
      <w:proofErr w:type="spellStart"/>
      <w:r w:rsidR="003D05BC">
        <w:rPr>
          <w:i/>
          <w:color w:val="000000"/>
        </w:rPr>
        <w:t>Contas</w:t>
      </w:r>
      <w:proofErr w:type="spellEnd"/>
      <w:r>
        <w:rPr>
          <w:color w:val="000000"/>
        </w:rPr>
        <w:t xml:space="preserve"> and the so-called Polish cases regarding the questions referred: C-537/18, C-558/18 and C-563/18 (combined); C-585/18 and C-624/18; C625/18, and C619/18 (combined) in terms of the decisions and the referrals themselves. Finally, I will analyze the discourse on so-called </w:t>
      </w:r>
      <w:r w:rsidRPr="00156290">
        <w:rPr>
          <w:color w:val="000000"/>
        </w:rPr>
        <w:t xml:space="preserve">« horizontal Solange » concept that argues for a juridical review of the state of fundamental rights in </w:t>
      </w:r>
      <w:r w:rsidR="003D05BC" w:rsidRPr="00156290">
        <w:rPr>
          <w:color w:val="000000"/>
        </w:rPr>
        <w:t>other</w:t>
      </w:r>
      <w:r w:rsidRPr="00156290">
        <w:rPr>
          <w:color w:val="000000"/>
        </w:rPr>
        <w:t xml:space="preserve"> member </w:t>
      </w:r>
      <w:r w:rsidR="003D05BC" w:rsidRPr="00156290">
        <w:rPr>
          <w:color w:val="000000"/>
        </w:rPr>
        <w:t>states</w:t>
      </w:r>
      <w:r w:rsidRPr="00156290">
        <w:rPr>
          <w:color w:val="000000"/>
        </w:rPr>
        <w:t xml:space="preserve"> by each national judge. </w:t>
      </w:r>
      <w:r>
        <w:rPr>
          <w:color w:val="000000"/>
        </w:rPr>
        <w:t xml:space="preserve">It has been advocated by the legal scholars and judges and can be shown as a first proper </w:t>
      </w:r>
      <w:r w:rsidR="003D05BC">
        <w:rPr>
          <w:color w:val="000000"/>
        </w:rPr>
        <w:t>common</w:t>
      </w:r>
      <w:r>
        <w:rPr>
          <w:color w:val="000000"/>
        </w:rPr>
        <w:t xml:space="preserve"> law </w:t>
      </w:r>
      <w:r w:rsidR="003D05BC">
        <w:rPr>
          <w:color w:val="000000"/>
        </w:rPr>
        <w:t>doctrine</w:t>
      </w:r>
      <w:r>
        <w:rPr>
          <w:color w:val="000000"/>
        </w:rPr>
        <w:t xml:space="preserve"> of the EU law.</w:t>
      </w:r>
    </w:p>
    <w:p w14:paraId="00000005" w14:textId="030196F8" w:rsidR="008D4496" w:rsidRPr="003D05BC" w:rsidRDefault="003D05BC" w:rsidP="003D05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17" w:right="-74"/>
        <w:jc w:val="both"/>
        <w:rPr>
          <w:color w:val="000000"/>
        </w:rPr>
      </w:pPr>
      <w:r>
        <w:rPr>
          <w:color w:val="000000"/>
        </w:rPr>
        <w:t>In conclusion, I will advocate that nowadays EU has become a proper mixed jurisdiction, and it should give an impulse for a radical change in the judges’ training program to allow the fully adjudicating the EU cases by applying common law/Equity standards, or even for creating a separate branch of jurisdiction that would adjudicate the EU cases.</w:t>
      </w:r>
      <w:bookmarkStart w:id="0" w:name="_GoBack"/>
      <w:bookmarkEnd w:id="0"/>
    </w:p>
    <w:sectPr w:rsidR="008D4496" w:rsidRPr="003D05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7E5D" w14:textId="77777777" w:rsidR="003D05BC" w:rsidRDefault="003D05BC" w:rsidP="003D05BC">
      <w:pPr>
        <w:spacing w:line="240" w:lineRule="auto"/>
      </w:pPr>
      <w:r>
        <w:separator/>
      </w:r>
    </w:p>
  </w:endnote>
  <w:endnote w:type="continuationSeparator" w:id="0">
    <w:p w14:paraId="02B1E2DF" w14:textId="77777777" w:rsidR="003D05BC" w:rsidRDefault="003D05BC" w:rsidP="003D0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D030C" w14:textId="77777777" w:rsidR="003D05BC" w:rsidRDefault="003D05BC" w:rsidP="003D05BC">
      <w:pPr>
        <w:spacing w:line="240" w:lineRule="auto"/>
      </w:pPr>
      <w:r>
        <w:separator/>
      </w:r>
    </w:p>
  </w:footnote>
  <w:footnote w:type="continuationSeparator" w:id="0">
    <w:p w14:paraId="41215DEE" w14:textId="77777777" w:rsidR="003D05BC" w:rsidRDefault="003D05BC" w:rsidP="003D05BC">
      <w:pPr>
        <w:spacing w:line="240" w:lineRule="auto"/>
      </w:pPr>
      <w:r>
        <w:continuationSeparator/>
      </w:r>
    </w:p>
  </w:footnote>
  <w:footnote w:id="1">
    <w:p w14:paraId="21BC586C" w14:textId="2F0F8F84" w:rsidR="003D05BC" w:rsidRPr="003D05BC" w:rsidRDefault="003D05BC" w:rsidP="003D05BC">
      <w:pPr>
        <w:widowControl w:val="0"/>
        <w:pBdr>
          <w:top w:val="nil"/>
          <w:left w:val="nil"/>
          <w:bottom w:val="nil"/>
          <w:right w:val="nil"/>
          <w:between w:val="nil"/>
        </w:pBdr>
        <w:ind w:left="-17" w:right="119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20"/>
          <w:szCs w:val="20"/>
        </w:rPr>
        <w:tab/>
        <w:t>William Tetley, Mixed Jurisdictions: Common Law v. Civil Law (Codified and Uncodified), 60 La. L. Rev. (2000), https://digitalcommons.law.lsu.edu/lalrev/vol60/iss3/2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96"/>
    <w:rsid w:val="00156290"/>
    <w:rsid w:val="003D05BC"/>
    <w:rsid w:val="008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AA1E4-9519-4A46-8F6A-72451172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5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5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3B15-480A-414E-8C32-44895C2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Mélisandre Shanks, Mlle</dc:creator>
  <cp:lastModifiedBy>Mélisandre Shanks, Mlle</cp:lastModifiedBy>
  <cp:revision>2</cp:revision>
  <dcterms:created xsi:type="dcterms:W3CDTF">2019-04-10T20:04:00Z</dcterms:created>
  <dcterms:modified xsi:type="dcterms:W3CDTF">2019-04-10T20:04:00Z</dcterms:modified>
</cp:coreProperties>
</file>