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71A" w:rsidRPr="002F1E86" w:rsidRDefault="00FA7755" w:rsidP="002F1E86">
      <w:pPr>
        <w:spacing w:line="276" w:lineRule="auto"/>
        <w:jc w:val="center"/>
        <w:rPr>
          <w:sz w:val="24"/>
          <w:szCs w:val="24"/>
        </w:rPr>
      </w:pPr>
      <w:r w:rsidRPr="002F1E86">
        <w:rPr>
          <w:sz w:val="24"/>
          <w:szCs w:val="24"/>
        </w:rPr>
        <w:t>Proposal for Eighth Annual Conference of ASCL YCC</w:t>
      </w:r>
    </w:p>
    <w:p w:rsidR="003F5C17" w:rsidRPr="002F1E86" w:rsidRDefault="003F5C17" w:rsidP="002F1E86">
      <w:pPr>
        <w:spacing w:line="276" w:lineRule="auto"/>
        <w:jc w:val="both"/>
        <w:rPr>
          <w:sz w:val="24"/>
          <w:szCs w:val="24"/>
        </w:rPr>
      </w:pPr>
    </w:p>
    <w:p w:rsidR="00AF271A" w:rsidRPr="002F1E86" w:rsidRDefault="00FA7755" w:rsidP="002F1E86">
      <w:pPr>
        <w:spacing w:line="276" w:lineRule="auto"/>
        <w:jc w:val="both"/>
        <w:rPr>
          <w:sz w:val="24"/>
          <w:szCs w:val="24"/>
        </w:rPr>
      </w:pPr>
      <w:r w:rsidRPr="002F1E86">
        <w:rPr>
          <w:sz w:val="24"/>
          <w:szCs w:val="24"/>
        </w:rPr>
        <w:t xml:space="preserve">Author’s name: </w:t>
      </w:r>
      <w:r w:rsidRPr="002F1E86">
        <w:rPr>
          <w:i/>
          <w:sz w:val="24"/>
          <w:szCs w:val="24"/>
        </w:rPr>
        <w:t xml:space="preserve">Yihua </w:t>
      </w:r>
      <w:r w:rsidRPr="002F1E86">
        <w:rPr>
          <w:rFonts w:hint="eastAsia"/>
          <w:i/>
          <w:sz w:val="24"/>
          <w:szCs w:val="24"/>
        </w:rPr>
        <w:t>Chen</w:t>
      </w:r>
    </w:p>
    <w:p w:rsidR="00AF271A" w:rsidRPr="002F1E86" w:rsidRDefault="00FA7755" w:rsidP="002F1E86">
      <w:pPr>
        <w:spacing w:line="276" w:lineRule="auto"/>
        <w:jc w:val="both"/>
        <w:rPr>
          <w:color w:val="000000"/>
          <w:sz w:val="24"/>
          <w:szCs w:val="24"/>
          <w:shd w:val="clear" w:color="auto" w:fill="FFFFFF"/>
        </w:rPr>
      </w:pPr>
      <w:r w:rsidRPr="002F1E86">
        <w:rPr>
          <w:color w:val="000000"/>
          <w:sz w:val="24"/>
          <w:szCs w:val="24"/>
          <w:shd w:val="clear" w:color="auto" w:fill="FFFFFF"/>
        </w:rPr>
        <w:t xml:space="preserve">Title of the paper: </w:t>
      </w:r>
      <w:r w:rsidRPr="002F1E86">
        <w:rPr>
          <w:i/>
          <w:sz w:val="24"/>
          <w:szCs w:val="24"/>
        </w:rPr>
        <w:t>The Regulation of Third-Party Funding of International Arbitration: in the Comparative Perspectives of Law, Economics and Judiciary</w:t>
      </w:r>
    </w:p>
    <w:p w:rsidR="003F5C17" w:rsidRPr="002F1E86" w:rsidRDefault="00FA7755" w:rsidP="002F1E86">
      <w:pPr>
        <w:spacing w:line="276" w:lineRule="auto"/>
        <w:jc w:val="both"/>
        <w:rPr>
          <w:sz w:val="24"/>
          <w:szCs w:val="24"/>
        </w:rPr>
      </w:pPr>
      <w:r w:rsidRPr="002F1E86">
        <w:rPr>
          <w:sz w:val="24"/>
          <w:szCs w:val="24"/>
        </w:rPr>
        <w:t xml:space="preserve">Institutional </w:t>
      </w:r>
      <w:r w:rsidRPr="002F1E86">
        <w:rPr>
          <w:sz w:val="24"/>
          <w:szCs w:val="24"/>
        </w:rPr>
        <w:t>affiliation:</w:t>
      </w:r>
      <w:r w:rsidRPr="002F1E86">
        <w:rPr>
          <w:color w:val="000000"/>
          <w:sz w:val="24"/>
          <w:szCs w:val="24"/>
          <w:shd w:val="clear" w:color="auto" w:fill="FFFFFF"/>
        </w:rPr>
        <w:t xml:space="preserve"> </w:t>
      </w:r>
      <w:r w:rsidRPr="002F1E86">
        <w:rPr>
          <w:i/>
          <w:sz w:val="24"/>
          <w:szCs w:val="24"/>
        </w:rPr>
        <w:t>Erasmus School of Law, Erasmus University Rotterdam</w:t>
      </w:r>
      <w:r w:rsidR="00C44160" w:rsidRPr="002F1E86">
        <w:rPr>
          <w:i/>
          <w:sz w:val="24"/>
          <w:szCs w:val="24"/>
        </w:rPr>
        <w:t xml:space="preserve">, </w:t>
      </w:r>
      <w:r w:rsidR="00C44160" w:rsidRPr="002F1E86">
        <w:rPr>
          <w:rFonts w:hint="eastAsia"/>
          <w:i/>
          <w:sz w:val="24"/>
          <w:szCs w:val="24"/>
        </w:rPr>
        <w:t>the Netherlands</w:t>
      </w:r>
    </w:p>
    <w:p w:rsidR="00AF271A" w:rsidRPr="002F1E86" w:rsidRDefault="00FA7755" w:rsidP="002F1E86">
      <w:pPr>
        <w:spacing w:line="276" w:lineRule="auto"/>
        <w:jc w:val="both"/>
        <w:rPr>
          <w:sz w:val="24"/>
          <w:szCs w:val="24"/>
        </w:rPr>
      </w:pPr>
      <w:r w:rsidRPr="002F1E86">
        <w:rPr>
          <w:sz w:val="24"/>
          <w:szCs w:val="24"/>
        </w:rPr>
        <w:t>Contact information:</w:t>
      </w:r>
      <w:r w:rsidRPr="002F1E86">
        <w:rPr>
          <w:color w:val="000000"/>
          <w:sz w:val="24"/>
          <w:szCs w:val="24"/>
          <w:shd w:val="clear" w:color="auto" w:fill="FFFFFF"/>
        </w:rPr>
        <w:t xml:space="preserve"> </w:t>
      </w:r>
      <w:hyperlink r:id="rId4" w:history="1">
        <w:r w:rsidRPr="002F1E86">
          <w:rPr>
            <w:rStyle w:val="Hyperlink"/>
            <w:sz w:val="24"/>
            <w:szCs w:val="24"/>
            <w:shd w:val="clear" w:color="auto" w:fill="FFFFFF"/>
          </w:rPr>
          <w:t>y.chen@law.eur.nl</w:t>
        </w:r>
      </w:hyperlink>
      <w:r w:rsidRPr="002F1E86">
        <w:rPr>
          <w:color w:val="000000"/>
          <w:sz w:val="24"/>
          <w:szCs w:val="24"/>
          <w:shd w:val="clear" w:color="auto" w:fill="FFFFFF"/>
        </w:rPr>
        <w:t xml:space="preserve"> </w:t>
      </w:r>
    </w:p>
    <w:p w:rsidR="00FA1132" w:rsidRPr="002F1E86" w:rsidRDefault="00FA7755" w:rsidP="002F1E86">
      <w:pPr>
        <w:spacing w:line="276" w:lineRule="auto"/>
        <w:jc w:val="both"/>
        <w:rPr>
          <w:i/>
          <w:sz w:val="24"/>
          <w:szCs w:val="24"/>
        </w:rPr>
      </w:pPr>
      <w:r w:rsidRPr="002F1E86">
        <w:rPr>
          <w:color w:val="000000"/>
          <w:sz w:val="24"/>
          <w:szCs w:val="24"/>
          <w:shd w:val="clear" w:color="auto" w:fill="FFFFFF"/>
        </w:rPr>
        <w:t xml:space="preserve">Keywords: </w:t>
      </w:r>
      <w:r w:rsidRPr="002F1E86">
        <w:rPr>
          <w:i/>
          <w:sz w:val="24"/>
          <w:szCs w:val="24"/>
        </w:rPr>
        <w:t>Third-Party Funding, International Arbitration, Regulatory Regime, Law an</w:t>
      </w:r>
      <w:r w:rsidR="00984235" w:rsidRPr="002F1E86">
        <w:rPr>
          <w:i/>
          <w:sz w:val="24"/>
          <w:szCs w:val="24"/>
        </w:rPr>
        <w:t>d Economics, Judicial Competition</w:t>
      </w:r>
    </w:p>
    <w:p w:rsidR="00C44160" w:rsidRPr="002F1E86" w:rsidRDefault="00FA7755" w:rsidP="002F1E86">
      <w:pPr>
        <w:spacing w:line="276" w:lineRule="auto"/>
        <w:jc w:val="both"/>
        <w:rPr>
          <w:sz w:val="24"/>
          <w:szCs w:val="24"/>
        </w:rPr>
      </w:pPr>
      <w:bookmarkStart w:id="0" w:name="_GoBack"/>
      <w:bookmarkEnd w:id="0"/>
      <w:r w:rsidRPr="002F1E86">
        <w:rPr>
          <w:sz w:val="24"/>
          <w:szCs w:val="24"/>
        </w:rPr>
        <w:t>Abstract</w:t>
      </w:r>
    </w:p>
    <w:p w:rsidR="005902DC" w:rsidRPr="002F1E86" w:rsidRDefault="00FA7755" w:rsidP="002F1E86">
      <w:pPr>
        <w:spacing w:line="276" w:lineRule="auto"/>
        <w:jc w:val="both"/>
        <w:rPr>
          <w:color w:val="000000"/>
          <w:sz w:val="24"/>
          <w:szCs w:val="24"/>
          <w:shd w:val="clear" w:color="auto" w:fill="FFFFFF"/>
        </w:rPr>
      </w:pPr>
      <w:r w:rsidRPr="002F1E86">
        <w:rPr>
          <w:color w:val="000000"/>
          <w:sz w:val="24"/>
          <w:szCs w:val="24"/>
          <w:shd w:val="clear" w:color="auto" w:fill="FFFFFF"/>
        </w:rPr>
        <w:t>Third-party funding has been restricted by the doctrines of champerty and maintenance in common law jurisdictions for a long time. In recent 10 year</w:t>
      </w:r>
      <w:r w:rsidR="0081319F" w:rsidRPr="002F1E86">
        <w:rPr>
          <w:color w:val="000000"/>
          <w:sz w:val="24"/>
          <w:szCs w:val="24"/>
          <w:shd w:val="clear" w:color="auto" w:fill="FFFFFF"/>
        </w:rPr>
        <w:t>s</w:t>
      </w:r>
      <w:r w:rsidRPr="002F1E86">
        <w:rPr>
          <w:color w:val="000000"/>
          <w:sz w:val="24"/>
          <w:szCs w:val="24"/>
          <w:shd w:val="clear" w:color="auto" w:fill="FFFFFF"/>
        </w:rPr>
        <w:t>,</w:t>
      </w:r>
      <w:r w:rsidRPr="002F1E86">
        <w:rPr>
          <w:sz w:val="24"/>
          <w:szCs w:val="24"/>
        </w:rPr>
        <w:t xml:space="preserve"> </w:t>
      </w:r>
      <w:r w:rsidRPr="002F1E86">
        <w:rPr>
          <w:color w:val="000000"/>
          <w:sz w:val="24"/>
          <w:szCs w:val="24"/>
          <w:shd w:val="clear" w:color="auto" w:fill="FFFFFF"/>
        </w:rPr>
        <w:t>more and more jurisdictions have participated in legalizing and</w:t>
      </w:r>
      <w:r w:rsidRPr="002F1E86">
        <w:rPr>
          <w:color w:val="000000"/>
          <w:sz w:val="24"/>
          <w:szCs w:val="24"/>
          <w:shd w:val="clear" w:color="auto" w:fill="FFFFFF"/>
        </w:rPr>
        <w:t xml:space="preserve"> allowing third-party funding in dispute resolution. However, at the same time, the </w:t>
      </w:r>
      <w:r w:rsidR="00EA4A73" w:rsidRPr="002F1E86">
        <w:rPr>
          <w:color w:val="000000"/>
          <w:sz w:val="24"/>
          <w:szCs w:val="24"/>
          <w:shd w:val="clear" w:color="auto" w:fill="FFFFFF"/>
        </w:rPr>
        <w:t xml:space="preserve">potential ethical </w:t>
      </w:r>
      <w:r w:rsidRPr="002F1E86">
        <w:rPr>
          <w:color w:val="000000"/>
          <w:sz w:val="24"/>
          <w:szCs w:val="24"/>
          <w:shd w:val="clear" w:color="auto" w:fill="FFFFFF"/>
        </w:rPr>
        <w:t>and</w:t>
      </w:r>
      <w:r w:rsidR="00EA4A73" w:rsidRPr="002F1E86">
        <w:rPr>
          <w:color w:val="000000"/>
          <w:sz w:val="24"/>
          <w:szCs w:val="24"/>
          <w:shd w:val="clear" w:color="auto" w:fill="FFFFFF"/>
        </w:rPr>
        <w:t xml:space="preserve"> procedural hazards </w:t>
      </w:r>
      <w:r w:rsidRPr="002F1E86">
        <w:rPr>
          <w:color w:val="000000"/>
          <w:sz w:val="24"/>
          <w:szCs w:val="24"/>
          <w:shd w:val="clear" w:color="auto" w:fill="FFFFFF"/>
        </w:rPr>
        <w:t>of</w:t>
      </w:r>
      <w:r w:rsidR="00EA4A73" w:rsidRPr="002F1E86">
        <w:rPr>
          <w:color w:val="000000"/>
          <w:sz w:val="24"/>
          <w:szCs w:val="24"/>
          <w:shd w:val="clear" w:color="auto" w:fill="FFFFFF"/>
        </w:rPr>
        <w:t xml:space="preserve"> third-party funding to international arbitration</w:t>
      </w:r>
      <w:r w:rsidRPr="002F1E86">
        <w:rPr>
          <w:color w:val="000000"/>
          <w:sz w:val="24"/>
          <w:szCs w:val="24"/>
          <w:shd w:val="clear" w:color="auto" w:fill="FFFFFF"/>
        </w:rPr>
        <w:t xml:space="preserve"> have been discovered and examined in practice and academics</w:t>
      </w:r>
      <w:r w:rsidR="00EA4A73" w:rsidRPr="002F1E86">
        <w:rPr>
          <w:color w:val="000000"/>
          <w:sz w:val="24"/>
          <w:szCs w:val="24"/>
          <w:shd w:val="clear" w:color="auto" w:fill="FFFFFF"/>
        </w:rPr>
        <w:t xml:space="preserve">. </w:t>
      </w:r>
      <w:r w:rsidRPr="002F1E86">
        <w:rPr>
          <w:color w:val="000000"/>
          <w:sz w:val="24"/>
          <w:szCs w:val="24"/>
          <w:shd w:val="clear" w:color="auto" w:fill="FFFFFF"/>
        </w:rPr>
        <w:t xml:space="preserve">Due to this, some </w:t>
      </w:r>
      <w:r w:rsidRPr="002F1E86">
        <w:rPr>
          <w:color w:val="000000"/>
          <w:sz w:val="24"/>
          <w:szCs w:val="24"/>
          <w:shd w:val="clear" w:color="auto" w:fill="FFFFFF"/>
        </w:rPr>
        <w:t xml:space="preserve">jurisdictions have taken leading steps to regulate and </w:t>
      </w:r>
      <w:r w:rsidR="00C44160" w:rsidRPr="002F1E86">
        <w:rPr>
          <w:color w:val="000000"/>
          <w:sz w:val="24"/>
          <w:szCs w:val="24"/>
          <w:shd w:val="clear" w:color="auto" w:fill="FFFFFF"/>
        </w:rPr>
        <w:t>guide</w:t>
      </w:r>
      <w:r w:rsidRPr="002F1E86">
        <w:rPr>
          <w:color w:val="000000"/>
          <w:sz w:val="24"/>
          <w:szCs w:val="24"/>
          <w:shd w:val="clear" w:color="auto" w:fill="FFFFFF"/>
        </w:rPr>
        <w:t xml:space="preserve"> the development of third-party funding in international arbitration. As for jurisdictions which are going to adopt or are just </w:t>
      </w:r>
      <w:r w:rsidR="00C44160" w:rsidRPr="002F1E86">
        <w:rPr>
          <w:color w:val="000000"/>
          <w:sz w:val="24"/>
          <w:szCs w:val="24"/>
          <w:shd w:val="clear" w:color="auto" w:fill="FFFFFF"/>
        </w:rPr>
        <w:t>accepting</w:t>
      </w:r>
      <w:r w:rsidRPr="002F1E86">
        <w:rPr>
          <w:color w:val="000000"/>
          <w:sz w:val="24"/>
          <w:szCs w:val="24"/>
          <w:shd w:val="clear" w:color="auto" w:fill="FFFFFF"/>
        </w:rPr>
        <w:t xml:space="preserve"> third-party funding in dispute resolution, it is of great </w:t>
      </w:r>
      <w:r w:rsidRPr="002F1E86">
        <w:rPr>
          <w:color w:val="000000"/>
          <w:sz w:val="24"/>
          <w:szCs w:val="24"/>
          <w:shd w:val="clear" w:color="auto" w:fill="FFFFFF"/>
        </w:rPr>
        <w:t>necessity to know what kind of regulatory regimes of third-party funding are applying in other justifications and what the regulatory focuses are. M</w:t>
      </w:r>
      <w:r w:rsidRPr="002F1E86">
        <w:rPr>
          <w:rFonts w:hint="eastAsia"/>
          <w:color w:val="000000"/>
          <w:sz w:val="24"/>
          <w:szCs w:val="24"/>
          <w:shd w:val="clear" w:color="auto" w:fill="FFFFFF"/>
        </w:rPr>
        <w:t xml:space="preserve">ore importantly, what lessons can be drawn from it. </w:t>
      </w:r>
    </w:p>
    <w:p w:rsidR="00FC1D90" w:rsidRPr="002F1E86" w:rsidRDefault="00FA7755" w:rsidP="002F1E86">
      <w:pPr>
        <w:spacing w:line="276" w:lineRule="auto"/>
        <w:jc w:val="both"/>
        <w:rPr>
          <w:color w:val="000000"/>
          <w:sz w:val="24"/>
          <w:szCs w:val="24"/>
          <w:shd w:val="clear" w:color="auto" w:fill="FFFFFF"/>
        </w:rPr>
      </w:pPr>
      <w:r w:rsidRPr="002F1E86">
        <w:rPr>
          <w:color w:val="000000"/>
          <w:sz w:val="24"/>
          <w:szCs w:val="24"/>
          <w:shd w:val="clear" w:color="auto" w:fill="FFFFFF"/>
        </w:rPr>
        <w:t>This article is first going to address the underlying r</w:t>
      </w:r>
      <w:r w:rsidRPr="002F1E86">
        <w:rPr>
          <w:color w:val="000000"/>
          <w:sz w:val="24"/>
          <w:szCs w:val="24"/>
          <w:shd w:val="clear" w:color="auto" w:fill="FFFFFF"/>
        </w:rPr>
        <w:t>easons for the legitimizing of third-party funding in international arbitration from the perspective of law and economics. Specifically, t</w:t>
      </w:r>
      <w:r w:rsidRPr="002F1E86">
        <w:rPr>
          <w:rFonts w:hint="eastAsia"/>
          <w:color w:val="000000"/>
          <w:sz w:val="24"/>
          <w:szCs w:val="24"/>
          <w:shd w:val="clear" w:color="auto" w:fill="FFFFFF"/>
        </w:rPr>
        <w:t xml:space="preserve">he emergence of </w:t>
      </w:r>
      <w:r w:rsidRPr="002F1E86">
        <w:rPr>
          <w:color w:val="000000"/>
          <w:sz w:val="24"/>
          <w:szCs w:val="24"/>
          <w:shd w:val="clear" w:color="auto" w:fill="FFFFFF"/>
        </w:rPr>
        <w:t>third-party funding is a result of marketization of dispute resolution; it satisfies the demands of th</w:t>
      </w:r>
      <w:r w:rsidRPr="002F1E86">
        <w:rPr>
          <w:color w:val="000000"/>
          <w:sz w:val="24"/>
          <w:szCs w:val="24"/>
          <w:shd w:val="clear" w:color="auto" w:fill="FFFFFF"/>
        </w:rPr>
        <w:t xml:space="preserve">e funder and the funded party in maximizing the value of legal assets and shifting litigation risks. The legitimization of third-party funding in international arbitration is to solve the issue of expensive arbitral costs and promote access to justice and </w:t>
      </w:r>
      <w:r w:rsidRPr="002F1E86">
        <w:rPr>
          <w:color w:val="000000"/>
          <w:sz w:val="24"/>
          <w:szCs w:val="24"/>
          <w:shd w:val="clear" w:color="auto" w:fill="FFFFFF"/>
        </w:rPr>
        <w:t xml:space="preserve">has even become as a significant perspective of judicial competition. </w:t>
      </w:r>
      <w:r w:rsidR="00AF271A" w:rsidRPr="002F1E86">
        <w:rPr>
          <w:rFonts w:hint="eastAsia"/>
          <w:color w:val="000000"/>
          <w:sz w:val="24"/>
          <w:szCs w:val="24"/>
          <w:shd w:val="clear" w:color="auto" w:fill="FFFFFF"/>
        </w:rPr>
        <w:t>Judicial competition is one of the underlying forces driving the set-up of</w:t>
      </w:r>
      <w:r w:rsidR="00AF271A" w:rsidRPr="002F1E86">
        <w:rPr>
          <w:color w:val="000000"/>
          <w:sz w:val="24"/>
          <w:szCs w:val="24"/>
          <w:shd w:val="clear" w:color="auto" w:fill="FFFFFF"/>
        </w:rPr>
        <w:t xml:space="preserve"> the well-regulated and organized</w:t>
      </w:r>
      <w:r w:rsidR="00C44160" w:rsidRPr="002F1E86">
        <w:rPr>
          <w:color w:val="000000"/>
          <w:sz w:val="24"/>
          <w:szCs w:val="24"/>
          <w:shd w:val="clear" w:color="auto" w:fill="FFFFFF"/>
        </w:rPr>
        <w:t xml:space="preserve"> regime of</w:t>
      </w:r>
      <w:r w:rsidR="00AF271A" w:rsidRPr="002F1E86">
        <w:rPr>
          <w:rFonts w:hint="eastAsia"/>
          <w:color w:val="000000"/>
          <w:sz w:val="24"/>
          <w:szCs w:val="24"/>
          <w:shd w:val="clear" w:color="auto" w:fill="FFFFFF"/>
        </w:rPr>
        <w:t xml:space="preserve"> </w:t>
      </w:r>
      <w:r w:rsidR="00AF271A" w:rsidRPr="002F1E86">
        <w:rPr>
          <w:color w:val="000000"/>
          <w:sz w:val="24"/>
          <w:szCs w:val="24"/>
          <w:shd w:val="clear" w:color="auto" w:fill="FFFFFF"/>
        </w:rPr>
        <w:t>third-party funding</w:t>
      </w:r>
      <w:r w:rsidR="00AF271A" w:rsidRPr="002F1E86">
        <w:rPr>
          <w:rFonts w:hint="eastAsia"/>
          <w:color w:val="000000"/>
          <w:sz w:val="24"/>
          <w:szCs w:val="24"/>
          <w:shd w:val="clear" w:color="auto" w:fill="FFFFFF"/>
        </w:rPr>
        <w:t>. This is especially true to less ad</w:t>
      </w:r>
      <w:r w:rsidR="00C44160" w:rsidRPr="002F1E86">
        <w:rPr>
          <w:rFonts w:hint="eastAsia"/>
          <w:color w:val="000000"/>
          <w:sz w:val="24"/>
          <w:szCs w:val="24"/>
          <w:shd w:val="clear" w:color="auto" w:fill="FFFFFF"/>
        </w:rPr>
        <w:t>vanced economies and non-common</w:t>
      </w:r>
      <w:r w:rsidR="00C44160" w:rsidRPr="002F1E86">
        <w:rPr>
          <w:color w:val="000000"/>
          <w:sz w:val="24"/>
          <w:szCs w:val="24"/>
          <w:shd w:val="clear" w:color="auto" w:fill="FFFFFF"/>
        </w:rPr>
        <w:t xml:space="preserve"> </w:t>
      </w:r>
      <w:r w:rsidR="00AF271A" w:rsidRPr="002F1E86">
        <w:rPr>
          <w:rFonts w:hint="eastAsia"/>
          <w:color w:val="000000"/>
          <w:sz w:val="24"/>
          <w:szCs w:val="24"/>
          <w:shd w:val="clear" w:color="auto" w:fill="FFFFFF"/>
        </w:rPr>
        <w:t>law jurisdictions. At the end of the day, it is the legal infrastructure and legal system that support an</w:t>
      </w:r>
      <w:r w:rsidR="00AF271A" w:rsidRPr="002F1E86">
        <w:rPr>
          <w:color w:val="000000"/>
          <w:sz w:val="24"/>
          <w:szCs w:val="24"/>
          <w:shd w:val="clear" w:color="auto" w:fill="FFFFFF"/>
        </w:rPr>
        <w:t xml:space="preserve">d stabilize economic growth. </w:t>
      </w:r>
    </w:p>
    <w:p w:rsidR="00AF271A" w:rsidRPr="002F1E86" w:rsidRDefault="00FA7755" w:rsidP="002F1E86">
      <w:pPr>
        <w:spacing w:line="276" w:lineRule="auto"/>
        <w:jc w:val="both"/>
        <w:rPr>
          <w:color w:val="000000"/>
          <w:sz w:val="24"/>
          <w:szCs w:val="24"/>
          <w:shd w:val="clear" w:color="auto" w:fill="FFFFFF"/>
        </w:rPr>
      </w:pPr>
      <w:r w:rsidRPr="002F1E86">
        <w:rPr>
          <w:color w:val="000000"/>
          <w:sz w:val="24"/>
          <w:szCs w:val="24"/>
          <w:shd w:val="clear" w:color="auto" w:fill="FFFFFF"/>
        </w:rPr>
        <w:t>Second, the author is going to address why regulation should be imposed upon third-party funding</w:t>
      </w:r>
      <w:r w:rsidRPr="002F1E86">
        <w:rPr>
          <w:color w:val="000000"/>
          <w:sz w:val="24"/>
          <w:szCs w:val="24"/>
          <w:shd w:val="clear" w:color="auto" w:fill="FFFFFF"/>
        </w:rPr>
        <w:t xml:space="preserve"> in international arbitration from the perspectives of </w:t>
      </w:r>
      <w:r w:rsidR="00C44160" w:rsidRPr="002F1E86">
        <w:rPr>
          <w:color w:val="000000"/>
          <w:sz w:val="24"/>
          <w:szCs w:val="24"/>
          <w:shd w:val="clear" w:color="auto" w:fill="FFFFFF"/>
        </w:rPr>
        <w:t>law</w:t>
      </w:r>
      <w:r w:rsidRPr="002F1E86">
        <w:rPr>
          <w:color w:val="000000"/>
          <w:sz w:val="24"/>
          <w:szCs w:val="24"/>
          <w:shd w:val="clear" w:color="auto" w:fill="FFFFFF"/>
        </w:rPr>
        <w:t xml:space="preserve">, economics and judiciary. Specifically, the law and economic doctrine may explain the necessity of supply more high-quality </w:t>
      </w:r>
      <w:r w:rsidRPr="002F1E86">
        <w:rPr>
          <w:color w:val="000000"/>
          <w:sz w:val="24"/>
          <w:szCs w:val="24"/>
          <w:shd w:val="clear" w:color="auto" w:fill="FFFFFF"/>
        </w:rPr>
        <w:lastRenderedPageBreak/>
        <w:t>third-party funding resources to the international arbitration community,</w:t>
      </w:r>
      <w:r w:rsidRPr="002F1E86">
        <w:rPr>
          <w:color w:val="000000"/>
          <w:sz w:val="24"/>
          <w:szCs w:val="24"/>
          <w:shd w:val="clear" w:color="auto" w:fill="FFFFFF"/>
        </w:rPr>
        <w:t xml:space="preserve"> which is seeking more stable and solid judicial infrastructures in the terms of effective dispute resolution and rights </w:t>
      </w:r>
      <w:r w:rsidRPr="002F1E86">
        <w:rPr>
          <w:rFonts w:hint="eastAsia"/>
          <w:color w:val="000000"/>
          <w:sz w:val="24"/>
          <w:szCs w:val="24"/>
          <w:shd w:val="clear" w:color="auto" w:fill="FFFFFF"/>
        </w:rPr>
        <w:t>remedy</w:t>
      </w:r>
      <w:r w:rsidRPr="002F1E86">
        <w:rPr>
          <w:color w:val="000000"/>
          <w:sz w:val="24"/>
          <w:szCs w:val="24"/>
          <w:shd w:val="clear" w:color="auto" w:fill="FFFFFF"/>
        </w:rPr>
        <w:t xml:space="preserve">. Although international arbitration has been </w:t>
      </w:r>
      <w:r w:rsidR="00C44160" w:rsidRPr="002F1E86">
        <w:rPr>
          <w:color w:val="000000"/>
          <w:sz w:val="24"/>
          <w:szCs w:val="24"/>
          <w:shd w:val="clear" w:color="auto" w:fill="FFFFFF"/>
        </w:rPr>
        <w:t xml:space="preserve">commonly used </w:t>
      </w:r>
      <w:r w:rsidRPr="002F1E86">
        <w:rPr>
          <w:rFonts w:hint="eastAsia"/>
          <w:color w:val="000000"/>
          <w:sz w:val="24"/>
          <w:szCs w:val="24"/>
          <w:shd w:val="clear" w:color="auto" w:fill="FFFFFF"/>
        </w:rPr>
        <w:t>by global commercial players in resolving their disputes,</w:t>
      </w:r>
      <w:r w:rsidRPr="002F1E86">
        <w:rPr>
          <w:color w:val="000000"/>
          <w:sz w:val="24"/>
          <w:szCs w:val="24"/>
          <w:shd w:val="clear" w:color="auto" w:fill="FFFFFF"/>
        </w:rPr>
        <w:t xml:space="preserve"> </w:t>
      </w:r>
      <w:r w:rsidRPr="002F1E86">
        <w:rPr>
          <w:rFonts w:hint="eastAsia"/>
          <w:color w:val="000000"/>
          <w:sz w:val="24"/>
          <w:szCs w:val="24"/>
          <w:shd w:val="clear" w:color="auto" w:fill="FFFFFF"/>
        </w:rPr>
        <w:t>the inheren</w:t>
      </w:r>
      <w:r w:rsidRPr="002F1E86">
        <w:rPr>
          <w:rFonts w:hint="eastAsia"/>
          <w:color w:val="000000"/>
          <w:sz w:val="24"/>
          <w:szCs w:val="24"/>
          <w:shd w:val="clear" w:color="auto" w:fill="FFFFFF"/>
        </w:rPr>
        <w:t xml:space="preserve">t defects and drawbacks of arbitration may also promote a need for higher level of </w:t>
      </w:r>
      <w:r w:rsidRPr="002F1E86">
        <w:rPr>
          <w:color w:val="000000"/>
          <w:sz w:val="24"/>
          <w:szCs w:val="24"/>
          <w:shd w:val="clear" w:color="auto" w:fill="FFFFFF"/>
        </w:rPr>
        <w:t>third-party funding</w:t>
      </w:r>
      <w:r w:rsidR="00EF07E6" w:rsidRPr="002F1E86">
        <w:rPr>
          <w:color w:val="000000"/>
          <w:sz w:val="24"/>
          <w:szCs w:val="24"/>
          <w:shd w:val="clear" w:color="auto" w:fill="FFFFFF"/>
        </w:rPr>
        <w:t xml:space="preserve"> regulatory regime</w:t>
      </w:r>
      <w:r w:rsidRPr="002F1E86">
        <w:rPr>
          <w:rFonts w:hint="eastAsia"/>
          <w:color w:val="000000"/>
          <w:sz w:val="24"/>
          <w:szCs w:val="24"/>
          <w:shd w:val="clear" w:color="auto" w:fill="FFFFFF"/>
        </w:rPr>
        <w:t xml:space="preserve"> with international characteristics</w:t>
      </w:r>
    </w:p>
    <w:p w:rsidR="00984235" w:rsidRPr="002F1E86" w:rsidRDefault="00FA7755" w:rsidP="002F1E86">
      <w:pPr>
        <w:spacing w:line="276" w:lineRule="auto"/>
        <w:jc w:val="both"/>
        <w:rPr>
          <w:color w:val="000000"/>
          <w:sz w:val="24"/>
          <w:szCs w:val="24"/>
          <w:shd w:val="clear" w:color="auto" w:fill="FFFFFF"/>
        </w:rPr>
      </w:pPr>
      <w:r w:rsidRPr="002F1E86">
        <w:rPr>
          <w:color w:val="000000"/>
          <w:sz w:val="24"/>
          <w:szCs w:val="24"/>
          <w:shd w:val="clear" w:color="auto" w:fill="FFFFFF"/>
        </w:rPr>
        <w:t xml:space="preserve">Third, </w:t>
      </w:r>
      <w:r w:rsidR="00FC1D90" w:rsidRPr="002F1E86">
        <w:rPr>
          <w:color w:val="000000"/>
          <w:sz w:val="24"/>
          <w:szCs w:val="24"/>
          <w:shd w:val="clear" w:color="auto" w:fill="FFFFFF"/>
        </w:rPr>
        <w:t xml:space="preserve">the article is going to examine the current regulatory regimes of third-party funding in the UK, Hong Kong and Singapore. In the UK, a self-regulatory regime is adopted by </w:t>
      </w:r>
      <w:r w:rsidR="00EA4A73" w:rsidRPr="002F1E86">
        <w:rPr>
          <w:color w:val="000000"/>
          <w:sz w:val="24"/>
          <w:szCs w:val="24"/>
          <w:shd w:val="clear" w:color="auto" w:fill="FFFFFF"/>
        </w:rPr>
        <w:t>the Litigation Funder A</w:t>
      </w:r>
      <w:r w:rsidR="00FC1D90" w:rsidRPr="002F1E86">
        <w:rPr>
          <w:color w:val="000000"/>
          <w:sz w:val="24"/>
          <w:szCs w:val="24"/>
          <w:shd w:val="clear" w:color="auto" w:fill="FFFFFF"/>
        </w:rPr>
        <w:t xml:space="preserve">ssociation of England and Wales, </w:t>
      </w:r>
      <w:r w:rsidR="00EA4A73" w:rsidRPr="002F1E86">
        <w:rPr>
          <w:color w:val="000000"/>
          <w:sz w:val="24"/>
          <w:szCs w:val="24"/>
          <w:shd w:val="clear" w:color="auto" w:fill="FFFFFF"/>
        </w:rPr>
        <w:t xml:space="preserve">leading the conduct of third-party funders practising in England and Wales. </w:t>
      </w:r>
      <w:r w:rsidR="00FC1D90" w:rsidRPr="002F1E86">
        <w:rPr>
          <w:color w:val="000000"/>
          <w:sz w:val="24"/>
          <w:szCs w:val="24"/>
          <w:shd w:val="clear" w:color="auto" w:fill="FFFFFF"/>
        </w:rPr>
        <w:t xml:space="preserve">Hong Kong is a jurisdiction adopting the light-touch regulatory approach, under which </w:t>
      </w:r>
      <w:r w:rsidR="00EA4A73" w:rsidRPr="002F1E86">
        <w:rPr>
          <w:color w:val="000000"/>
          <w:sz w:val="24"/>
          <w:szCs w:val="24"/>
          <w:shd w:val="clear" w:color="auto" w:fill="FFFFFF"/>
        </w:rPr>
        <w:t>the minimum requirement for third-party funding of international arbitration</w:t>
      </w:r>
      <w:r w:rsidR="00FC1D90" w:rsidRPr="002F1E86">
        <w:rPr>
          <w:color w:val="000000"/>
          <w:sz w:val="24"/>
          <w:szCs w:val="24"/>
          <w:shd w:val="clear" w:color="auto" w:fill="FFFFFF"/>
        </w:rPr>
        <w:t xml:space="preserve"> is provided</w:t>
      </w:r>
      <w:r w:rsidR="00EA4A73" w:rsidRPr="002F1E86">
        <w:rPr>
          <w:color w:val="000000"/>
          <w:sz w:val="24"/>
          <w:szCs w:val="24"/>
          <w:shd w:val="clear" w:color="auto" w:fill="FFFFFF"/>
        </w:rPr>
        <w:t xml:space="preserve"> </w:t>
      </w:r>
      <w:r w:rsidR="00FC1D90" w:rsidRPr="002F1E86">
        <w:rPr>
          <w:color w:val="000000"/>
          <w:sz w:val="24"/>
          <w:szCs w:val="24"/>
          <w:shd w:val="clear" w:color="auto" w:fill="FFFFFF"/>
        </w:rPr>
        <w:t>in</w:t>
      </w:r>
      <w:r w:rsidR="00EA4A73" w:rsidRPr="002F1E86">
        <w:rPr>
          <w:color w:val="000000"/>
          <w:sz w:val="24"/>
          <w:szCs w:val="24"/>
          <w:shd w:val="clear" w:color="auto" w:fill="FFFFFF"/>
        </w:rPr>
        <w:t xml:space="preserve"> Hong Kong Arbitration Ordinance and a Code of Practice for Third Party Funding of Arbitration and Mediation </w:t>
      </w:r>
      <w:r w:rsidR="00FC1D90" w:rsidRPr="002F1E86">
        <w:rPr>
          <w:color w:val="000000"/>
          <w:sz w:val="24"/>
          <w:szCs w:val="24"/>
          <w:shd w:val="clear" w:color="auto" w:fill="FFFFFF"/>
        </w:rPr>
        <w:t>is set</w:t>
      </w:r>
      <w:r w:rsidR="00EA4A73" w:rsidRPr="002F1E86">
        <w:rPr>
          <w:color w:val="000000"/>
          <w:sz w:val="24"/>
          <w:szCs w:val="24"/>
          <w:shd w:val="clear" w:color="auto" w:fill="FFFFFF"/>
        </w:rPr>
        <w:t xml:space="preserve"> out </w:t>
      </w:r>
      <w:r w:rsidR="00FC1D90" w:rsidRPr="002F1E86">
        <w:rPr>
          <w:color w:val="000000"/>
          <w:sz w:val="24"/>
          <w:szCs w:val="24"/>
          <w:shd w:val="clear" w:color="auto" w:fill="FFFFFF"/>
        </w:rPr>
        <w:t xml:space="preserve">concerning </w:t>
      </w:r>
      <w:r w:rsidR="00EA4A73" w:rsidRPr="002F1E86">
        <w:rPr>
          <w:color w:val="000000"/>
          <w:sz w:val="24"/>
          <w:szCs w:val="24"/>
          <w:shd w:val="clear" w:color="auto" w:fill="FFFFFF"/>
        </w:rPr>
        <w:t xml:space="preserve">the practices and standards with which funders are expected to comply. </w:t>
      </w:r>
      <w:r w:rsidR="00FC1D90" w:rsidRPr="002F1E86">
        <w:rPr>
          <w:color w:val="000000"/>
          <w:sz w:val="24"/>
          <w:szCs w:val="24"/>
          <w:shd w:val="clear" w:color="auto" w:fill="FFFFFF"/>
        </w:rPr>
        <w:t>As to t</w:t>
      </w:r>
      <w:r w:rsidR="00EA4A73" w:rsidRPr="002F1E86">
        <w:rPr>
          <w:color w:val="000000"/>
          <w:sz w:val="24"/>
          <w:szCs w:val="24"/>
          <w:shd w:val="clear" w:color="auto" w:fill="FFFFFF"/>
        </w:rPr>
        <w:t xml:space="preserve">he regulatory regime </w:t>
      </w:r>
      <w:r w:rsidR="00FC1D90" w:rsidRPr="002F1E86">
        <w:rPr>
          <w:color w:val="000000"/>
          <w:sz w:val="24"/>
          <w:szCs w:val="24"/>
          <w:shd w:val="clear" w:color="auto" w:fill="FFFFFF"/>
        </w:rPr>
        <w:t>in</w:t>
      </w:r>
      <w:r w:rsidR="00EA4A73" w:rsidRPr="002F1E86">
        <w:rPr>
          <w:color w:val="000000"/>
          <w:sz w:val="24"/>
          <w:szCs w:val="24"/>
          <w:shd w:val="clear" w:color="auto" w:fill="FFFFFF"/>
        </w:rPr>
        <w:t xml:space="preserve"> Singapore</w:t>
      </w:r>
      <w:r w:rsidR="00FC1D90" w:rsidRPr="002F1E86">
        <w:rPr>
          <w:color w:val="000000"/>
          <w:sz w:val="24"/>
          <w:szCs w:val="24"/>
          <w:shd w:val="clear" w:color="auto" w:fill="FFFFFF"/>
        </w:rPr>
        <w:t>, it</w:t>
      </w:r>
      <w:r w:rsidR="00EA4A73" w:rsidRPr="002F1E86">
        <w:rPr>
          <w:color w:val="000000"/>
          <w:sz w:val="24"/>
          <w:szCs w:val="24"/>
          <w:shd w:val="clear" w:color="auto" w:fill="FFFFFF"/>
        </w:rPr>
        <w:t xml:space="preserve"> </w:t>
      </w:r>
      <w:r w:rsidR="001215F5" w:rsidRPr="002F1E86">
        <w:rPr>
          <w:color w:val="000000"/>
          <w:sz w:val="24"/>
          <w:szCs w:val="24"/>
          <w:shd w:val="clear" w:color="auto" w:fill="FFFFFF"/>
        </w:rPr>
        <w:t xml:space="preserve">is designed with flexibility and party autonomy and </w:t>
      </w:r>
      <w:r w:rsidR="00EA4A73" w:rsidRPr="002F1E86">
        <w:rPr>
          <w:color w:val="000000"/>
          <w:sz w:val="24"/>
          <w:szCs w:val="24"/>
          <w:shd w:val="clear" w:color="auto" w:fill="FFFFFF"/>
        </w:rPr>
        <w:t>focuses on lawyers and law firms practising in Singapore</w:t>
      </w:r>
      <w:r w:rsidR="001215F5" w:rsidRPr="002F1E86">
        <w:rPr>
          <w:color w:val="000000"/>
          <w:sz w:val="24"/>
          <w:szCs w:val="24"/>
          <w:shd w:val="clear" w:color="auto" w:fill="FFFFFF"/>
        </w:rPr>
        <w:t xml:space="preserve">. </w:t>
      </w:r>
    </w:p>
    <w:p w:rsidR="00AF271A" w:rsidRPr="002F1E86" w:rsidRDefault="00FA7755" w:rsidP="002F1E86">
      <w:pPr>
        <w:spacing w:line="276" w:lineRule="auto"/>
        <w:jc w:val="both"/>
        <w:rPr>
          <w:color w:val="000000"/>
          <w:sz w:val="24"/>
          <w:szCs w:val="24"/>
          <w:shd w:val="clear" w:color="auto" w:fill="FFFFFF"/>
        </w:rPr>
      </w:pPr>
      <w:r w:rsidRPr="002F1E86">
        <w:rPr>
          <w:color w:val="000000"/>
          <w:sz w:val="24"/>
          <w:szCs w:val="24"/>
          <w:shd w:val="clear" w:color="auto" w:fill="FFFFFF"/>
        </w:rPr>
        <w:t>Last</w:t>
      </w:r>
      <w:r w:rsidR="00FC1D90" w:rsidRPr="002F1E86">
        <w:rPr>
          <w:color w:val="000000"/>
          <w:sz w:val="24"/>
          <w:szCs w:val="24"/>
          <w:shd w:val="clear" w:color="auto" w:fill="FFFFFF"/>
        </w:rPr>
        <w:t>, comparative research is going to be conducted after examining the current regulatory regimes of third-party funding in the main jurisdictions. The comparative research is going to be based upon the ‘tripartite' regulatory approach proposed by Victoria A. Shannon</w:t>
      </w:r>
      <w:r w:rsidR="00561CC6" w:rsidRPr="002F1E86">
        <w:rPr>
          <w:color w:val="000000"/>
          <w:sz w:val="24"/>
          <w:szCs w:val="24"/>
          <w:shd w:val="clear" w:color="auto" w:fill="FFFFFF"/>
        </w:rPr>
        <w:t>, including financial</w:t>
      </w:r>
      <w:r w:rsidR="00F758F7" w:rsidRPr="002F1E86">
        <w:rPr>
          <w:color w:val="000000"/>
          <w:sz w:val="24"/>
          <w:szCs w:val="24"/>
          <w:shd w:val="clear" w:color="auto" w:fill="FFFFFF"/>
        </w:rPr>
        <w:t xml:space="preserve"> aspect, professional conduct, and procedural conduct.</w:t>
      </w:r>
      <w:r w:rsidR="00082DC9" w:rsidRPr="002F1E86">
        <w:rPr>
          <w:color w:val="000000"/>
          <w:sz w:val="24"/>
          <w:szCs w:val="24"/>
          <w:shd w:val="clear" w:color="auto" w:fill="FFFFFF"/>
        </w:rPr>
        <w:t xml:space="preserve"> </w:t>
      </w:r>
      <w:r w:rsidRPr="002F1E86">
        <w:rPr>
          <w:color w:val="000000"/>
          <w:sz w:val="24"/>
          <w:szCs w:val="24"/>
          <w:shd w:val="clear" w:color="auto" w:fill="FFFFFF"/>
        </w:rPr>
        <w:t>Then, t</w:t>
      </w:r>
      <w:r w:rsidR="00984235" w:rsidRPr="002F1E86">
        <w:rPr>
          <w:color w:val="000000"/>
          <w:sz w:val="24"/>
          <w:szCs w:val="24"/>
          <w:shd w:val="clear" w:color="auto" w:fill="FFFFFF"/>
        </w:rPr>
        <w:t xml:space="preserve">his article </w:t>
      </w:r>
      <w:r w:rsidRPr="002F1E86">
        <w:rPr>
          <w:color w:val="000000"/>
          <w:sz w:val="24"/>
          <w:szCs w:val="24"/>
          <w:shd w:val="clear" w:color="auto" w:fill="FFFFFF"/>
        </w:rPr>
        <w:t xml:space="preserve">will propose a multi-steps supervision and regulation approach to third-party funding in international arbitration. </w:t>
      </w:r>
    </w:p>
    <w:p w:rsidR="00984235" w:rsidRPr="002F1E86" w:rsidRDefault="00984235" w:rsidP="002F1E86">
      <w:pPr>
        <w:spacing w:line="276" w:lineRule="auto"/>
        <w:jc w:val="both"/>
        <w:rPr>
          <w:color w:val="000000"/>
          <w:sz w:val="24"/>
          <w:szCs w:val="24"/>
          <w:shd w:val="clear" w:color="auto" w:fill="FFFFFF"/>
        </w:rPr>
      </w:pPr>
    </w:p>
    <w:p w:rsidR="00AF271A" w:rsidRPr="002F1E86" w:rsidRDefault="00AF271A" w:rsidP="002F1E86">
      <w:pPr>
        <w:spacing w:line="276" w:lineRule="auto"/>
        <w:jc w:val="both"/>
        <w:rPr>
          <w:color w:val="000000"/>
          <w:sz w:val="24"/>
          <w:szCs w:val="24"/>
          <w:shd w:val="clear" w:color="auto" w:fill="FFFFFF"/>
        </w:rPr>
      </w:pPr>
    </w:p>
    <w:p w:rsidR="00984235" w:rsidRPr="002F1E86" w:rsidRDefault="00984235" w:rsidP="002F1E86">
      <w:pPr>
        <w:spacing w:line="276" w:lineRule="auto"/>
        <w:jc w:val="both"/>
        <w:rPr>
          <w:sz w:val="24"/>
          <w:szCs w:val="24"/>
        </w:rPr>
      </w:pPr>
    </w:p>
    <w:sectPr w:rsidR="00984235" w:rsidRPr="002F1E8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132"/>
    <w:rsid w:val="00082DC9"/>
    <w:rsid w:val="001215F5"/>
    <w:rsid w:val="002F1E86"/>
    <w:rsid w:val="003949E1"/>
    <w:rsid w:val="003F5C17"/>
    <w:rsid w:val="00561CC6"/>
    <w:rsid w:val="005902DC"/>
    <w:rsid w:val="0081319F"/>
    <w:rsid w:val="00942B90"/>
    <w:rsid w:val="00984235"/>
    <w:rsid w:val="00AF271A"/>
    <w:rsid w:val="00BC3655"/>
    <w:rsid w:val="00C44160"/>
    <w:rsid w:val="00EA4A73"/>
    <w:rsid w:val="00EF07E6"/>
    <w:rsid w:val="00F758F7"/>
    <w:rsid w:val="00FA1132"/>
    <w:rsid w:val="00FA7755"/>
    <w:rsid w:val="00FC1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C9BDA0-3AF9-4291-805E-6EC8138D5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113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F5C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y.chen@law.eur.n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644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</Company>
  <LinksUpToDate>false</LinksUpToDate>
  <CharactersWithSpaces>4520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Yihua Chen</dc:creator>
  <cp:lastModifiedBy>Mélisandre Shanks, Mlle</cp:lastModifiedBy>
  <cp:revision>2</cp:revision>
  <dcterms:created xsi:type="dcterms:W3CDTF">2019-04-10T20:06:00Z</dcterms:created>
  <dcterms:modified xsi:type="dcterms:W3CDTF">2019-04-10T20:06:00Z</dcterms:modified>
</cp:coreProperties>
</file>