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71" w:rsidRDefault="00EB4348">
      <w:pPr>
        <w:pStyle w:val="Default"/>
        <w:spacing w:after="760"/>
        <w:jc w:val="center"/>
      </w:pPr>
      <w:r w:rsidRPr="00E743C4">
        <w:rPr>
          <w:noProof/>
          <w:lang w:val="fr-CA" w:eastAsia="fr-CA"/>
        </w:rPr>
        <w:drawing>
          <wp:inline distT="0" distB="0" distL="0" distR="0">
            <wp:extent cx="34671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657225"/>
                    </a:xfrm>
                    <a:prstGeom prst="rect">
                      <a:avLst/>
                    </a:prstGeom>
                    <a:noFill/>
                    <a:ln>
                      <a:noFill/>
                    </a:ln>
                  </pic:spPr>
                </pic:pic>
              </a:graphicData>
            </a:graphic>
          </wp:inline>
        </w:drawing>
      </w:r>
    </w:p>
    <w:p w:rsidR="004366F6" w:rsidRDefault="007F42FA" w:rsidP="004366F6">
      <w:pPr>
        <w:tabs>
          <w:tab w:val="left" w:pos="720"/>
          <w:tab w:val="left" w:pos="1440"/>
        </w:tabs>
        <w:spacing w:before="120" w:line="240" w:lineRule="atLeast"/>
        <w:ind w:left="1440" w:hanging="1440"/>
        <w:jc w:val="right"/>
        <w:rPr>
          <w:rFonts w:ascii="Arial" w:hAnsi="Arial" w:cs="Arial"/>
        </w:rPr>
      </w:pPr>
      <w:r>
        <w:rPr>
          <w:rFonts w:ascii="Arial" w:hAnsi="Arial" w:cs="Arial"/>
        </w:rPr>
        <w:t>February</w:t>
      </w:r>
      <w:r w:rsidRPr="00052DE3">
        <w:rPr>
          <w:rFonts w:ascii="Arial" w:hAnsi="Arial" w:cs="Arial"/>
        </w:rPr>
        <w:t xml:space="preserve"> </w:t>
      </w:r>
      <w:r w:rsidR="0070074D" w:rsidRPr="00052DE3">
        <w:rPr>
          <w:rFonts w:ascii="Arial" w:hAnsi="Arial" w:cs="Arial"/>
        </w:rPr>
        <w:t>201</w:t>
      </w:r>
      <w:r w:rsidR="0070074D">
        <w:rPr>
          <w:rFonts w:ascii="Arial" w:hAnsi="Arial" w:cs="Arial"/>
        </w:rPr>
        <w:t>6</w:t>
      </w:r>
    </w:p>
    <w:p w:rsidR="00C24C93" w:rsidRPr="00122567" w:rsidRDefault="00C24C93" w:rsidP="004366F6">
      <w:pPr>
        <w:tabs>
          <w:tab w:val="left" w:pos="720"/>
          <w:tab w:val="left" w:pos="1440"/>
        </w:tabs>
        <w:spacing w:before="120" w:line="240" w:lineRule="atLeast"/>
        <w:ind w:left="1440" w:hanging="1440"/>
        <w:jc w:val="right"/>
        <w:rPr>
          <w:rFonts w:ascii="Arial" w:hAnsi="Arial" w:cs="Arial"/>
        </w:rPr>
      </w:pPr>
    </w:p>
    <w:p w:rsidR="00EA1213" w:rsidRDefault="00EA1213" w:rsidP="004366F6">
      <w:pPr>
        <w:tabs>
          <w:tab w:val="left" w:pos="720"/>
          <w:tab w:val="left" w:pos="1440"/>
        </w:tabs>
        <w:spacing w:before="120" w:line="240" w:lineRule="atLeast"/>
        <w:ind w:left="1440" w:hanging="1440"/>
        <w:jc w:val="right"/>
        <w:rPr>
          <w:rFonts w:ascii="Arial" w:hAnsi="Arial" w:cs="Arial"/>
          <w:sz w:val="22"/>
          <w:szCs w:val="22"/>
        </w:rPr>
      </w:pPr>
    </w:p>
    <w:p w:rsidR="0013773C" w:rsidRPr="00716EE6" w:rsidRDefault="0013773C" w:rsidP="0013773C">
      <w:pPr>
        <w:ind w:left="720" w:hanging="720"/>
        <w:rPr>
          <w:rFonts w:ascii="Arial" w:hAnsi="Arial" w:cs="Arial"/>
          <w:sz w:val="22"/>
          <w:szCs w:val="22"/>
        </w:rPr>
      </w:pPr>
      <w:r>
        <w:rPr>
          <w:rFonts w:ascii="Arial" w:hAnsi="Arial" w:cs="Arial"/>
          <w:b/>
          <w:sz w:val="28"/>
          <w:szCs w:val="28"/>
        </w:rPr>
        <w:t>To:</w:t>
      </w:r>
      <w:r>
        <w:rPr>
          <w:rFonts w:ascii="Arial" w:hAnsi="Arial" w:cs="Arial"/>
          <w:b/>
          <w:sz w:val="28"/>
          <w:szCs w:val="28"/>
        </w:rPr>
        <w:tab/>
      </w:r>
      <w:r w:rsidR="00882637">
        <w:rPr>
          <w:rFonts w:ascii="Arial" w:hAnsi="Arial" w:cs="Arial"/>
          <w:b/>
          <w:sz w:val="28"/>
          <w:szCs w:val="28"/>
        </w:rPr>
        <w:t xml:space="preserve">Executives, </w:t>
      </w:r>
      <w:r w:rsidRPr="00197AC9">
        <w:rPr>
          <w:rFonts w:ascii="Arial" w:hAnsi="Arial" w:cs="Arial"/>
          <w:b/>
          <w:sz w:val="28"/>
          <w:szCs w:val="28"/>
        </w:rPr>
        <w:t>Management Staff and Staff in excluded</w:t>
      </w:r>
      <w:r w:rsidR="00D85128">
        <w:rPr>
          <w:rFonts w:ascii="Arial" w:hAnsi="Arial" w:cs="Arial"/>
          <w:b/>
          <w:sz w:val="28"/>
          <w:szCs w:val="28"/>
        </w:rPr>
        <w:t xml:space="preserve"> positions</w:t>
      </w:r>
      <w:r w:rsidRPr="00197AC9">
        <w:rPr>
          <w:rFonts w:ascii="Arial" w:hAnsi="Arial" w:cs="Arial"/>
          <w:b/>
          <w:sz w:val="28"/>
          <w:szCs w:val="28"/>
        </w:rPr>
        <w:t xml:space="preserve"> </w:t>
      </w:r>
      <w:r w:rsidR="00D85128">
        <w:rPr>
          <w:rFonts w:ascii="Arial" w:hAnsi="Arial" w:cs="Arial"/>
          <w:b/>
          <w:sz w:val="28"/>
          <w:szCs w:val="28"/>
        </w:rPr>
        <w:t xml:space="preserve"> </w:t>
      </w:r>
    </w:p>
    <w:p w:rsidR="001647E0" w:rsidRDefault="001647E0" w:rsidP="00997B3F">
      <w:pPr>
        <w:tabs>
          <w:tab w:val="left" w:pos="720"/>
          <w:tab w:val="left" w:pos="1440"/>
        </w:tabs>
        <w:spacing w:before="120" w:line="240" w:lineRule="atLeast"/>
        <w:ind w:left="1440" w:hanging="1440"/>
        <w:rPr>
          <w:rFonts w:ascii="Arial" w:hAnsi="Arial" w:cs="Arial"/>
          <w:b/>
        </w:rPr>
      </w:pPr>
    </w:p>
    <w:p w:rsidR="00C24C93" w:rsidRDefault="00C24C93" w:rsidP="00997B3F">
      <w:pPr>
        <w:tabs>
          <w:tab w:val="left" w:pos="720"/>
          <w:tab w:val="left" w:pos="1440"/>
        </w:tabs>
        <w:spacing w:before="120" w:line="240" w:lineRule="atLeast"/>
        <w:ind w:left="1440" w:hanging="1440"/>
        <w:rPr>
          <w:rFonts w:ascii="Arial" w:hAnsi="Arial" w:cs="Arial"/>
          <w:b/>
        </w:rPr>
      </w:pPr>
    </w:p>
    <w:p w:rsidR="00BC1F06" w:rsidRDefault="0055513A" w:rsidP="00C374A8">
      <w:pPr>
        <w:jc w:val="both"/>
        <w:rPr>
          <w:rFonts w:ascii="Arial" w:hAnsi="Arial" w:cs="Arial"/>
          <w:b/>
        </w:rPr>
      </w:pPr>
      <w:r>
        <w:rPr>
          <w:rFonts w:ascii="Arial" w:hAnsi="Arial" w:cs="Arial"/>
          <w:b/>
        </w:rPr>
        <w:t>201</w:t>
      </w:r>
      <w:r w:rsidR="0070074D">
        <w:rPr>
          <w:rFonts w:ascii="Arial" w:hAnsi="Arial" w:cs="Arial"/>
          <w:b/>
        </w:rPr>
        <w:t xml:space="preserve">5 </w:t>
      </w:r>
      <w:r w:rsidR="00E57752">
        <w:rPr>
          <w:rFonts w:ascii="Arial" w:hAnsi="Arial" w:cs="Arial"/>
          <w:b/>
        </w:rPr>
        <w:t>-</w:t>
      </w:r>
      <w:r w:rsidR="0070074D">
        <w:rPr>
          <w:rFonts w:ascii="Arial" w:hAnsi="Arial" w:cs="Arial"/>
          <w:b/>
        </w:rPr>
        <w:t xml:space="preserve"> </w:t>
      </w:r>
      <w:r w:rsidR="00E57752">
        <w:rPr>
          <w:rFonts w:ascii="Arial" w:hAnsi="Arial" w:cs="Arial"/>
          <w:b/>
        </w:rPr>
        <w:t>201</w:t>
      </w:r>
      <w:r w:rsidR="0070074D">
        <w:rPr>
          <w:rFonts w:ascii="Arial" w:hAnsi="Arial" w:cs="Arial"/>
          <w:b/>
        </w:rPr>
        <w:t>6</w:t>
      </w:r>
      <w:r w:rsidR="009A0581">
        <w:rPr>
          <w:rFonts w:ascii="Arial" w:hAnsi="Arial" w:cs="Arial"/>
          <w:b/>
        </w:rPr>
        <w:t xml:space="preserve"> </w:t>
      </w:r>
      <w:r w:rsidR="008454D0">
        <w:rPr>
          <w:rFonts w:ascii="Arial" w:hAnsi="Arial" w:cs="Arial"/>
          <w:b/>
        </w:rPr>
        <w:t xml:space="preserve">Salary </w:t>
      </w:r>
      <w:r w:rsidR="001F0127">
        <w:rPr>
          <w:rFonts w:ascii="Arial" w:hAnsi="Arial" w:cs="Arial"/>
          <w:b/>
        </w:rPr>
        <w:t xml:space="preserve">Increase </w:t>
      </w:r>
      <w:r w:rsidR="00981365">
        <w:rPr>
          <w:rFonts w:ascii="Arial" w:hAnsi="Arial" w:cs="Arial"/>
          <w:b/>
        </w:rPr>
        <w:t>Implementations</w:t>
      </w:r>
      <w:r w:rsidR="001F0127">
        <w:rPr>
          <w:rFonts w:ascii="Arial" w:hAnsi="Arial" w:cs="Arial"/>
          <w:b/>
        </w:rPr>
        <w:t>:</w:t>
      </w:r>
    </w:p>
    <w:p w:rsidR="001F0127" w:rsidRDefault="001F0127" w:rsidP="00C374A8">
      <w:pPr>
        <w:jc w:val="both"/>
        <w:rPr>
          <w:rFonts w:ascii="Arial" w:hAnsi="Arial" w:cs="Arial"/>
          <w:b/>
        </w:rPr>
      </w:pPr>
    </w:p>
    <w:p w:rsidR="00C24C93" w:rsidRPr="00BC1F06" w:rsidRDefault="00C24C93" w:rsidP="00C374A8">
      <w:pPr>
        <w:jc w:val="both"/>
        <w:rPr>
          <w:rFonts w:ascii="Arial" w:hAnsi="Arial" w:cs="Arial"/>
          <w:b/>
        </w:rPr>
      </w:pPr>
    </w:p>
    <w:p w:rsidR="00D51F4B" w:rsidRDefault="001F0127" w:rsidP="00EA1213">
      <w:pPr>
        <w:rPr>
          <w:rFonts w:ascii="Arial" w:hAnsi="Arial" w:cs="Arial"/>
        </w:rPr>
      </w:pPr>
      <w:r w:rsidRPr="00D51F4B">
        <w:rPr>
          <w:rFonts w:ascii="Arial" w:hAnsi="Arial" w:cs="Arial"/>
        </w:rPr>
        <w:t xml:space="preserve">The </w:t>
      </w:r>
      <w:r w:rsidR="00EA1213" w:rsidRPr="00D51F4B">
        <w:rPr>
          <w:rFonts w:ascii="Arial" w:hAnsi="Arial" w:cs="Arial"/>
        </w:rPr>
        <w:t>20</w:t>
      </w:r>
      <w:r w:rsidR="0055513A">
        <w:rPr>
          <w:rFonts w:ascii="Arial" w:hAnsi="Arial" w:cs="Arial"/>
        </w:rPr>
        <w:t>1</w:t>
      </w:r>
      <w:r w:rsidR="0070074D">
        <w:rPr>
          <w:rFonts w:ascii="Arial" w:hAnsi="Arial" w:cs="Arial"/>
        </w:rPr>
        <w:t xml:space="preserve">5 </w:t>
      </w:r>
      <w:r w:rsidR="00EA1213" w:rsidRPr="00D51F4B">
        <w:rPr>
          <w:rFonts w:ascii="Arial" w:hAnsi="Arial" w:cs="Arial"/>
        </w:rPr>
        <w:t>-</w:t>
      </w:r>
      <w:r w:rsidR="0070074D">
        <w:rPr>
          <w:rFonts w:ascii="Arial" w:hAnsi="Arial" w:cs="Arial"/>
        </w:rPr>
        <w:t xml:space="preserve"> </w:t>
      </w:r>
      <w:r w:rsidR="00D93B10">
        <w:rPr>
          <w:rFonts w:ascii="Arial" w:hAnsi="Arial" w:cs="Arial"/>
        </w:rPr>
        <w:t>20</w:t>
      </w:r>
      <w:r w:rsidR="004B3FEF" w:rsidRPr="00D51F4B">
        <w:rPr>
          <w:rFonts w:ascii="Arial" w:hAnsi="Arial" w:cs="Arial"/>
        </w:rPr>
        <w:t>1</w:t>
      </w:r>
      <w:r w:rsidR="0070074D">
        <w:rPr>
          <w:rFonts w:ascii="Arial" w:hAnsi="Arial" w:cs="Arial"/>
        </w:rPr>
        <w:t>6</w:t>
      </w:r>
      <w:r w:rsidR="00EA1213" w:rsidRPr="00D51F4B">
        <w:rPr>
          <w:rFonts w:ascii="Arial" w:hAnsi="Arial" w:cs="Arial"/>
        </w:rPr>
        <w:t xml:space="preserve"> </w:t>
      </w:r>
      <w:r w:rsidR="002F1A16" w:rsidRPr="00D51F4B">
        <w:rPr>
          <w:rFonts w:ascii="Arial" w:hAnsi="Arial" w:cs="Arial"/>
        </w:rPr>
        <w:t>Salary P</w:t>
      </w:r>
      <w:r w:rsidR="00A30A66" w:rsidRPr="00D51F4B">
        <w:rPr>
          <w:rFonts w:ascii="Arial" w:hAnsi="Arial" w:cs="Arial"/>
        </w:rPr>
        <w:t xml:space="preserve">olicy is comprised of </w:t>
      </w:r>
      <w:r w:rsidRPr="00D51F4B">
        <w:rPr>
          <w:rFonts w:ascii="Arial" w:hAnsi="Arial" w:cs="Arial"/>
        </w:rPr>
        <w:t xml:space="preserve">a total salary </w:t>
      </w:r>
      <w:r w:rsidRPr="00F7589D">
        <w:rPr>
          <w:rFonts w:ascii="Arial" w:hAnsi="Arial" w:cs="Arial"/>
        </w:rPr>
        <w:t xml:space="preserve">increase of </w:t>
      </w:r>
      <w:r w:rsidR="0070074D">
        <w:rPr>
          <w:rFonts w:ascii="Arial" w:hAnsi="Arial" w:cs="Arial"/>
        </w:rPr>
        <w:t>3</w:t>
      </w:r>
      <w:r w:rsidR="0055513A">
        <w:rPr>
          <w:rFonts w:ascii="Arial" w:hAnsi="Arial" w:cs="Arial"/>
        </w:rPr>
        <w:t>.0</w:t>
      </w:r>
      <w:r w:rsidRPr="00F7589D">
        <w:rPr>
          <w:rFonts w:ascii="Arial" w:hAnsi="Arial" w:cs="Arial"/>
        </w:rPr>
        <w:t>%</w:t>
      </w:r>
      <w:r w:rsidR="00D51F4B" w:rsidRPr="00F7589D">
        <w:rPr>
          <w:rFonts w:ascii="Arial" w:hAnsi="Arial" w:cs="Arial"/>
        </w:rPr>
        <w:t xml:space="preserve"> </w:t>
      </w:r>
      <w:r w:rsidR="0058032D">
        <w:rPr>
          <w:rFonts w:ascii="Arial" w:hAnsi="Arial" w:cs="Arial"/>
        </w:rPr>
        <w:t>split into</w:t>
      </w:r>
      <w:r w:rsidR="00D51F4B">
        <w:rPr>
          <w:rFonts w:ascii="Arial" w:hAnsi="Arial" w:cs="Arial"/>
        </w:rPr>
        <w:t xml:space="preserve"> two components: </w:t>
      </w:r>
    </w:p>
    <w:p w:rsidR="00D51F4B" w:rsidRDefault="00D51F4B" w:rsidP="00EA1213">
      <w:pPr>
        <w:rPr>
          <w:rFonts w:ascii="Arial" w:hAnsi="Arial" w:cs="Arial"/>
        </w:rPr>
      </w:pPr>
    </w:p>
    <w:p w:rsidR="00D51F4B" w:rsidRPr="00F7589D" w:rsidRDefault="00D51F4B" w:rsidP="00D51F4B">
      <w:pPr>
        <w:numPr>
          <w:ilvl w:val="0"/>
          <w:numId w:val="15"/>
        </w:numPr>
        <w:rPr>
          <w:rFonts w:ascii="Arial" w:hAnsi="Arial" w:cs="Arial"/>
        </w:rPr>
      </w:pPr>
      <w:r>
        <w:rPr>
          <w:rFonts w:ascii="Arial" w:hAnsi="Arial" w:cs="Arial"/>
        </w:rPr>
        <w:t xml:space="preserve">An economic increase </w:t>
      </w:r>
      <w:r w:rsidRPr="00F7589D">
        <w:rPr>
          <w:rFonts w:ascii="Arial" w:hAnsi="Arial" w:cs="Arial"/>
        </w:rPr>
        <w:t>of 1% for all staff, except for staff rated as “Requir</w:t>
      </w:r>
      <w:r w:rsidR="00971D42" w:rsidRPr="00F7589D">
        <w:rPr>
          <w:rFonts w:ascii="Arial" w:hAnsi="Arial" w:cs="Arial"/>
        </w:rPr>
        <w:t>es</w:t>
      </w:r>
      <w:r w:rsidRPr="00F7589D">
        <w:rPr>
          <w:rFonts w:ascii="Arial" w:hAnsi="Arial" w:cs="Arial"/>
        </w:rPr>
        <w:t xml:space="preserve"> immediate                        improvement</w:t>
      </w:r>
      <w:r w:rsidR="00EC574F" w:rsidRPr="00F7589D">
        <w:rPr>
          <w:rFonts w:ascii="Arial" w:hAnsi="Arial" w:cs="Arial"/>
        </w:rPr>
        <w:t>”;</w:t>
      </w:r>
    </w:p>
    <w:p w:rsidR="00EC574F" w:rsidRDefault="00EC574F" w:rsidP="00EC574F">
      <w:pPr>
        <w:ind w:left="720"/>
        <w:rPr>
          <w:rFonts w:ascii="Arial" w:hAnsi="Arial" w:cs="Arial"/>
        </w:rPr>
      </w:pPr>
    </w:p>
    <w:p w:rsidR="00D51F4B" w:rsidRDefault="00D51F4B" w:rsidP="00D51F4B">
      <w:pPr>
        <w:numPr>
          <w:ilvl w:val="0"/>
          <w:numId w:val="15"/>
        </w:numPr>
        <w:rPr>
          <w:rFonts w:ascii="Arial" w:hAnsi="Arial" w:cs="Arial"/>
        </w:rPr>
      </w:pPr>
      <w:r>
        <w:rPr>
          <w:rFonts w:ascii="Arial" w:hAnsi="Arial" w:cs="Arial"/>
        </w:rPr>
        <w:t xml:space="preserve">An </w:t>
      </w:r>
      <w:r w:rsidRPr="00F7589D">
        <w:rPr>
          <w:rFonts w:ascii="Arial" w:hAnsi="Arial" w:cs="Arial"/>
        </w:rPr>
        <w:t xml:space="preserve">additional </w:t>
      </w:r>
      <w:r w:rsidR="001944CB" w:rsidRPr="00F7589D">
        <w:rPr>
          <w:rFonts w:ascii="Arial" w:hAnsi="Arial" w:cs="Arial"/>
        </w:rPr>
        <w:t>2</w:t>
      </w:r>
      <w:r w:rsidR="001E4544" w:rsidRPr="00F7589D">
        <w:rPr>
          <w:rFonts w:ascii="Arial" w:hAnsi="Arial" w:cs="Arial"/>
        </w:rPr>
        <w:t>% is</w:t>
      </w:r>
      <w:r w:rsidRPr="00F7589D">
        <w:rPr>
          <w:rFonts w:ascii="Arial" w:hAnsi="Arial" w:cs="Arial"/>
        </w:rPr>
        <w:t xml:space="preserve"> available</w:t>
      </w:r>
      <w:r>
        <w:rPr>
          <w:rFonts w:ascii="Arial" w:hAnsi="Arial" w:cs="Arial"/>
        </w:rPr>
        <w:t xml:space="preserve"> for </w:t>
      </w:r>
      <w:r w:rsidR="00EC574F">
        <w:rPr>
          <w:rFonts w:ascii="Arial" w:hAnsi="Arial" w:cs="Arial"/>
        </w:rPr>
        <w:t xml:space="preserve">allocation to </w:t>
      </w:r>
      <w:r>
        <w:rPr>
          <w:rFonts w:ascii="Arial" w:hAnsi="Arial" w:cs="Arial"/>
        </w:rPr>
        <w:t>staff who are rated</w:t>
      </w:r>
      <w:r w:rsidR="00971D42">
        <w:rPr>
          <w:rFonts w:ascii="Arial" w:hAnsi="Arial" w:cs="Arial"/>
        </w:rPr>
        <w:t xml:space="preserve"> </w:t>
      </w:r>
      <w:r w:rsidR="001E4544">
        <w:rPr>
          <w:rFonts w:ascii="Arial" w:hAnsi="Arial" w:cs="Arial"/>
        </w:rPr>
        <w:t>as</w:t>
      </w:r>
      <w:r w:rsidR="00D130F9">
        <w:rPr>
          <w:rFonts w:ascii="Arial" w:hAnsi="Arial" w:cs="Arial"/>
        </w:rPr>
        <w:t xml:space="preserve"> </w:t>
      </w:r>
      <w:r w:rsidR="0084025A">
        <w:rPr>
          <w:rFonts w:ascii="Arial" w:hAnsi="Arial" w:cs="Arial"/>
        </w:rPr>
        <w:t>“</w:t>
      </w:r>
      <w:r w:rsidR="00347E32">
        <w:rPr>
          <w:rFonts w:ascii="Arial" w:hAnsi="Arial" w:cs="Arial"/>
        </w:rPr>
        <w:t>Consistent/</w:t>
      </w:r>
      <w:r>
        <w:rPr>
          <w:rFonts w:ascii="Arial" w:hAnsi="Arial" w:cs="Arial"/>
        </w:rPr>
        <w:t>Strong” or “Leading”.</w:t>
      </w:r>
    </w:p>
    <w:p w:rsidR="00D51F4B" w:rsidRDefault="00D51F4B" w:rsidP="00D51F4B">
      <w:pPr>
        <w:ind w:left="720"/>
        <w:rPr>
          <w:rFonts w:ascii="Arial" w:hAnsi="Arial" w:cs="Arial"/>
        </w:rPr>
      </w:pPr>
    </w:p>
    <w:p w:rsidR="001F0127" w:rsidRDefault="00D51F4B" w:rsidP="003C68B0">
      <w:pPr>
        <w:jc w:val="both"/>
        <w:rPr>
          <w:rFonts w:ascii="Arial" w:hAnsi="Arial" w:cs="Arial"/>
        </w:rPr>
      </w:pPr>
      <w:r>
        <w:rPr>
          <w:rFonts w:ascii="Arial" w:hAnsi="Arial" w:cs="Arial"/>
        </w:rPr>
        <w:t>M</w:t>
      </w:r>
      <w:r w:rsidR="005F64B6">
        <w:rPr>
          <w:rFonts w:ascii="Arial" w:hAnsi="Arial" w:cs="Arial"/>
        </w:rPr>
        <w:t xml:space="preserve">cGill is strongly committed to investing in its executive, management and professional staff.  We firmly believe that the University’s success is in large part due to their </w:t>
      </w:r>
      <w:r w:rsidR="007D7B9A">
        <w:rPr>
          <w:rFonts w:ascii="Arial" w:hAnsi="Arial" w:cs="Arial"/>
        </w:rPr>
        <w:t>contribution</w:t>
      </w:r>
      <w:bookmarkStart w:id="0" w:name="_GoBack"/>
      <w:bookmarkEnd w:id="0"/>
      <w:r w:rsidR="005F64B6">
        <w:rPr>
          <w:rFonts w:ascii="Arial" w:hAnsi="Arial" w:cs="Arial"/>
        </w:rPr>
        <w:t xml:space="preserve"> and dedication.  In line with our efforts to build and support a performance based culture, the Salary Policy provides for the fair and equitable recognition of all staff who make a sustained positive contribution to the University, while at the same time providing the flexibility to reward those staff members whose contributions and achievements consistently exceed expectations</w:t>
      </w:r>
      <w:r w:rsidR="00971D42">
        <w:rPr>
          <w:rFonts w:ascii="Arial" w:hAnsi="Arial" w:cs="Arial"/>
        </w:rPr>
        <w:t>.</w:t>
      </w:r>
    </w:p>
    <w:p w:rsidR="005F64B6" w:rsidRDefault="005F64B6" w:rsidP="00EA1213">
      <w:pPr>
        <w:rPr>
          <w:rFonts w:ascii="Arial" w:hAnsi="Arial" w:cs="Arial"/>
        </w:rPr>
      </w:pPr>
    </w:p>
    <w:p w:rsidR="00971D42" w:rsidRDefault="001F0127" w:rsidP="003C68B0">
      <w:pPr>
        <w:jc w:val="both"/>
        <w:rPr>
          <w:rFonts w:ascii="Arial" w:hAnsi="Arial" w:cs="Arial"/>
        </w:rPr>
      </w:pPr>
      <w:r>
        <w:rPr>
          <w:rFonts w:ascii="Arial" w:hAnsi="Arial" w:cs="Arial"/>
        </w:rPr>
        <w:t xml:space="preserve">Units will be provided with a salary increase </w:t>
      </w:r>
      <w:r w:rsidR="002F1A16">
        <w:rPr>
          <w:rFonts w:ascii="Arial" w:hAnsi="Arial" w:cs="Arial"/>
        </w:rPr>
        <w:t>envelope</w:t>
      </w:r>
      <w:r>
        <w:rPr>
          <w:rFonts w:ascii="Arial" w:hAnsi="Arial" w:cs="Arial"/>
        </w:rPr>
        <w:t xml:space="preserve"> equal</w:t>
      </w:r>
      <w:r w:rsidR="00CB51FE">
        <w:rPr>
          <w:rFonts w:ascii="Arial" w:hAnsi="Arial" w:cs="Arial"/>
        </w:rPr>
        <w:t xml:space="preserve"> </w:t>
      </w:r>
      <w:r w:rsidR="00CB51FE" w:rsidRPr="00D51F4B">
        <w:rPr>
          <w:rFonts w:ascii="Arial" w:hAnsi="Arial" w:cs="Arial"/>
        </w:rPr>
        <w:t xml:space="preserve">to </w:t>
      </w:r>
      <w:r w:rsidR="0070074D">
        <w:rPr>
          <w:rFonts w:ascii="Arial" w:hAnsi="Arial" w:cs="Arial"/>
        </w:rPr>
        <w:t>3</w:t>
      </w:r>
      <w:r w:rsidR="0055513A">
        <w:rPr>
          <w:rFonts w:ascii="Arial" w:hAnsi="Arial" w:cs="Arial"/>
        </w:rPr>
        <w:t>.0</w:t>
      </w:r>
      <w:r w:rsidR="00CB51FE" w:rsidRPr="00D51F4B">
        <w:rPr>
          <w:rFonts w:ascii="Arial" w:hAnsi="Arial" w:cs="Arial"/>
        </w:rPr>
        <w:t>%</w:t>
      </w:r>
      <w:r w:rsidR="00CB51FE">
        <w:rPr>
          <w:rFonts w:ascii="Arial" w:hAnsi="Arial" w:cs="Arial"/>
        </w:rPr>
        <w:t xml:space="preserve"> of</w:t>
      </w:r>
      <w:r>
        <w:rPr>
          <w:rFonts w:ascii="Arial" w:hAnsi="Arial" w:cs="Arial"/>
        </w:rPr>
        <w:t xml:space="preserve"> eligible salaries within their unit.  </w:t>
      </w:r>
    </w:p>
    <w:p w:rsidR="00971D42" w:rsidRDefault="00971D42" w:rsidP="0013773C">
      <w:pPr>
        <w:rPr>
          <w:rFonts w:ascii="Arial" w:hAnsi="Arial" w:cs="Arial"/>
        </w:rPr>
      </w:pPr>
    </w:p>
    <w:p w:rsidR="00EA1213" w:rsidRDefault="00CB51FE" w:rsidP="0013773C">
      <w:pPr>
        <w:rPr>
          <w:rFonts w:ascii="Arial" w:hAnsi="Arial" w:cs="Arial"/>
        </w:rPr>
      </w:pPr>
      <w:r>
        <w:rPr>
          <w:rFonts w:ascii="Arial" w:hAnsi="Arial" w:cs="Arial"/>
        </w:rPr>
        <w:t xml:space="preserve">Staff may be rated according to one of </w:t>
      </w:r>
      <w:r w:rsidR="00930BBF">
        <w:rPr>
          <w:rFonts w:ascii="Arial" w:hAnsi="Arial" w:cs="Arial"/>
        </w:rPr>
        <w:t>five</w:t>
      </w:r>
      <w:r w:rsidR="004462F1">
        <w:rPr>
          <w:rFonts w:ascii="Arial" w:hAnsi="Arial" w:cs="Arial"/>
        </w:rPr>
        <w:t xml:space="preserve"> </w:t>
      </w:r>
      <w:r>
        <w:rPr>
          <w:rFonts w:ascii="Arial" w:hAnsi="Arial" w:cs="Arial"/>
        </w:rPr>
        <w:t>categories as defined below</w:t>
      </w:r>
      <w:r w:rsidR="001F0127">
        <w:rPr>
          <w:rFonts w:ascii="Arial" w:hAnsi="Arial" w:cs="Arial"/>
        </w:rPr>
        <w:t xml:space="preserve">.   There </w:t>
      </w:r>
      <w:r>
        <w:rPr>
          <w:rFonts w:ascii="Arial" w:hAnsi="Arial" w:cs="Arial"/>
        </w:rPr>
        <w:t xml:space="preserve">is no </w:t>
      </w:r>
      <w:r w:rsidR="001F0127">
        <w:rPr>
          <w:rFonts w:ascii="Arial" w:hAnsi="Arial" w:cs="Arial"/>
        </w:rPr>
        <w:t xml:space="preserve">limitation </w:t>
      </w:r>
      <w:r>
        <w:rPr>
          <w:rFonts w:ascii="Arial" w:hAnsi="Arial" w:cs="Arial"/>
        </w:rPr>
        <w:t>to</w:t>
      </w:r>
      <w:r w:rsidR="001F0127">
        <w:rPr>
          <w:rFonts w:ascii="Arial" w:hAnsi="Arial" w:cs="Arial"/>
        </w:rPr>
        <w:t xml:space="preserve"> the number of staff who may be rated in any single category</w:t>
      </w:r>
      <w:r w:rsidR="002F1A16">
        <w:rPr>
          <w:rFonts w:ascii="Arial" w:hAnsi="Arial" w:cs="Arial"/>
        </w:rPr>
        <w:t xml:space="preserve">, although units </w:t>
      </w:r>
      <w:r w:rsidR="004462F1">
        <w:rPr>
          <w:rFonts w:ascii="Arial" w:hAnsi="Arial" w:cs="Arial"/>
        </w:rPr>
        <w:t>may not</w:t>
      </w:r>
      <w:r w:rsidR="002F1A16">
        <w:rPr>
          <w:rFonts w:ascii="Arial" w:hAnsi="Arial" w:cs="Arial"/>
        </w:rPr>
        <w:t xml:space="preserve"> exceed their </w:t>
      </w:r>
      <w:r w:rsidR="00ED6CB9">
        <w:rPr>
          <w:rFonts w:ascii="Arial" w:hAnsi="Arial" w:cs="Arial"/>
        </w:rPr>
        <w:t>salary increase envelope</w:t>
      </w:r>
      <w:r w:rsidR="001F0127">
        <w:rPr>
          <w:rFonts w:ascii="Arial" w:hAnsi="Arial" w:cs="Arial"/>
        </w:rPr>
        <w:t>.</w:t>
      </w:r>
    </w:p>
    <w:p w:rsidR="004462F1" w:rsidRDefault="004462F1" w:rsidP="0013773C">
      <w:pPr>
        <w:rPr>
          <w:rFonts w:ascii="Arial" w:hAnsi="Arial" w:cs="Arial"/>
        </w:rPr>
      </w:pPr>
    </w:p>
    <w:p w:rsidR="00413545" w:rsidRPr="006F69A3" w:rsidRDefault="00413545" w:rsidP="00413545">
      <w:pPr>
        <w:rPr>
          <w:rFonts w:ascii="Arial" w:hAnsi="Arial" w:cs="Arial"/>
          <w:b/>
        </w:rPr>
      </w:pPr>
      <w:r w:rsidRPr="006F69A3">
        <w:rPr>
          <w:rFonts w:ascii="Arial" w:hAnsi="Arial" w:cs="Arial"/>
          <w:b/>
        </w:rPr>
        <w:t xml:space="preserve">Salary increases are effective </w:t>
      </w:r>
      <w:r w:rsidR="004B3FEF">
        <w:rPr>
          <w:rFonts w:ascii="Arial" w:hAnsi="Arial" w:cs="Arial"/>
          <w:b/>
        </w:rPr>
        <w:t>June 1</w:t>
      </w:r>
      <w:r w:rsidRPr="006F69A3">
        <w:rPr>
          <w:rFonts w:ascii="Arial" w:hAnsi="Arial" w:cs="Arial"/>
          <w:b/>
        </w:rPr>
        <w:t>, 20</w:t>
      </w:r>
      <w:r w:rsidR="004B3FEF">
        <w:rPr>
          <w:rFonts w:ascii="Arial" w:hAnsi="Arial" w:cs="Arial"/>
          <w:b/>
        </w:rPr>
        <w:t>1</w:t>
      </w:r>
      <w:r w:rsidR="0070074D">
        <w:rPr>
          <w:rFonts w:ascii="Arial" w:hAnsi="Arial" w:cs="Arial"/>
          <w:b/>
        </w:rPr>
        <w:t>6</w:t>
      </w:r>
      <w:r w:rsidRPr="006F69A3">
        <w:rPr>
          <w:rFonts w:ascii="Arial" w:hAnsi="Arial" w:cs="Arial"/>
          <w:b/>
        </w:rPr>
        <w:t xml:space="preserve"> and will be reflected on the pay of </w:t>
      </w:r>
      <w:r w:rsidR="004B3FEF">
        <w:rPr>
          <w:rFonts w:ascii="Arial" w:hAnsi="Arial" w:cs="Arial"/>
          <w:b/>
        </w:rPr>
        <w:t>June 1</w:t>
      </w:r>
      <w:r w:rsidR="0070074D">
        <w:rPr>
          <w:rFonts w:ascii="Arial" w:hAnsi="Arial" w:cs="Arial"/>
          <w:b/>
        </w:rPr>
        <w:t>0</w:t>
      </w:r>
      <w:r w:rsidRPr="006F69A3">
        <w:rPr>
          <w:rFonts w:ascii="Arial" w:hAnsi="Arial" w:cs="Arial"/>
          <w:b/>
        </w:rPr>
        <w:t>, 20</w:t>
      </w:r>
      <w:r w:rsidR="004B3FEF">
        <w:rPr>
          <w:rFonts w:ascii="Arial" w:hAnsi="Arial" w:cs="Arial"/>
          <w:b/>
        </w:rPr>
        <w:t>1</w:t>
      </w:r>
      <w:r w:rsidR="0070074D">
        <w:rPr>
          <w:rFonts w:ascii="Arial" w:hAnsi="Arial" w:cs="Arial"/>
          <w:b/>
        </w:rPr>
        <w:t>6</w:t>
      </w:r>
      <w:r w:rsidRPr="006F69A3">
        <w:rPr>
          <w:rFonts w:ascii="Arial" w:hAnsi="Arial" w:cs="Arial"/>
          <w:b/>
        </w:rPr>
        <w:t xml:space="preserve">.   </w:t>
      </w:r>
    </w:p>
    <w:p w:rsidR="00413545" w:rsidRPr="006F69A3" w:rsidRDefault="00413545" w:rsidP="00413545">
      <w:pPr>
        <w:ind w:left="720"/>
        <w:rPr>
          <w:rFonts w:ascii="Arial" w:hAnsi="Arial" w:cs="Arial"/>
          <w:b/>
        </w:rPr>
      </w:pPr>
    </w:p>
    <w:p w:rsidR="006F69A3" w:rsidRPr="006F69A3" w:rsidRDefault="006F69A3" w:rsidP="0069668F">
      <w:pPr>
        <w:ind w:left="45"/>
        <w:rPr>
          <w:rFonts w:ascii="Arial" w:hAnsi="Arial" w:cs="Arial"/>
          <w:b/>
        </w:rPr>
      </w:pPr>
    </w:p>
    <w:p w:rsidR="00FC437A" w:rsidRPr="006F69A3" w:rsidRDefault="00FC437A" w:rsidP="0069668F">
      <w:pPr>
        <w:ind w:left="45"/>
        <w:rPr>
          <w:rFonts w:ascii="Arial" w:hAnsi="Arial" w:cs="Arial"/>
          <w:b/>
        </w:rPr>
      </w:pPr>
      <w:r w:rsidRPr="006F69A3">
        <w:rPr>
          <w:rFonts w:ascii="Arial" w:hAnsi="Arial" w:cs="Arial"/>
          <w:b/>
        </w:rPr>
        <w:t>POLICY OVERVIEW</w:t>
      </w:r>
    </w:p>
    <w:p w:rsidR="00A955A7" w:rsidRPr="006F69A3" w:rsidRDefault="00A955A7" w:rsidP="00A955A7">
      <w:pPr>
        <w:ind w:left="1440"/>
        <w:rPr>
          <w:rFonts w:ascii="Arial" w:hAnsi="Arial" w:cs="Arial"/>
        </w:rPr>
      </w:pPr>
      <w:bookmarkStart w:id="1" w:name="OLE_LINK3"/>
    </w:p>
    <w:p w:rsidR="00FC437A" w:rsidRDefault="00FC437A" w:rsidP="00FC437A">
      <w:pPr>
        <w:numPr>
          <w:ilvl w:val="0"/>
          <w:numId w:val="5"/>
        </w:numPr>
        <w:tabs>
          <w:tab w:val="clear" w:pos="360"/>
          <w:tab w:val="num" w:pos="1440"/>
        </w:tabs>
        <w:ind w:left="1440" w:hanging="720"/>
        <w:rPr>
          <w:rFonts w:ascii="Arial" w:hAnsi="Arial" w:cs="Arial"/>
        </w:rPr>
      </w:pPr>
      <w:r w:rsidRPr="006F69A3">
        <w:rPr>
          <w:rFonts w:ascii="Arial" w:hAnsi="Arial" w:cs="Arial"/>
        </w:rPr>
        <w:t xml:space="preserve">Effective </w:t>
      </w:r>
      <w:r w:rsidR="004B3FEF">
        <w:rPr>
          <w:rFonts w:ascii="Arial" w:hAnsi="Arial" w:cs="Arial"/>
        </w:rPr>
        <w:t xml:space="preserve">June </w:t>
      </w:r>
      <w:r w:rsidRPr="006F69A3">
        <w:rPr>
          <w:rFonts w:ascii="Arial" w:hAnsi="Arial" w:cs="Arial"/>
        </w:rPr>
        <w:t xml:space="preserve">1, </w:t>
      </w:r>
      <w:r w:rsidR="0055513A">
        <w:rPr>
          <w:rFonts w:ascii="Arial" w:hAnsi="Arial" w:cs="Arial"/>
        </w:rPr>
        <w:t>201</w:t>
      </w:r>
      <w:r w:rsidR="0070074D">
        <w:rPr>
          <w:rFonts w:ascii="Arial" w:hAnsi="Arial" w:cs="Arial"/>
        </w:rPr>
        <w:t>6</w:t>
      </w:r>
      <w:r w:rsidRPr="006F69A3">
        <w:rPr>
          <w:rFonts w:ascii="Arial" w:hAnsi="Arial" w:cs="Arial"/>
        </w:rPr>
        <w:t>, salaries of eligible</w:t>
      </w:r>
      <w:r w:rsidR="00B9389A">
        <w:rPr>
          <w:rFonts w:ascii="Arial" w:hAnsi="Arial" w:cs="Arial"/>
        </w:rPr>
        <w:t xml:space="preserve"> executive, </w:t>
      </w:r>
      <w:r w:rsidRPr="006F69A3">
        <w:rPr>
          <w:rFonts w:ascii="Arial" w:hAnsi="Arial" w:cs="Arial"/>
        </w:rPr>
        <w:t xml:space="preserve">management staff (“M”) and staff in </w:t>
      </w:r>
      <w:r w:rsidR="0070074D" w:rsidRPr="006F69A3">
        <w:rPr>
          <w:rFonts w:ascii="Arial" w:hAnsi="Arial" w:cs="Arial"/>
        </w:rPr>
        <w:t xml:space="preserve">excluded </w:t>
      </w:r>
      <w:r w:rsidRPr="006F69A3">
        <w:rPr>
          <w:rFonts w:ascii="Arial" w:hAnsi="Arial" w:cs="Arial"/>
        </w:rPr>
        <w:t xml:space="preserve">positions </w:t>
      </w:r>
      <w:r w:rsidR="00930BBF">
        <w:rPr>
          <w:rFonts w:ascii="Arial" w:hAnsi="Arial" w:cs="Arial"/>
        </w:rPr>
        <w:t xml:space="preserve">may </w:t>
      </w:r>
      <w:r w:rsidRPr="006F69A3">
        <w:rPr>
          <w:rFonts w:ascii="Arial" w:hAnsi="Arial" w:cs="Arial"/>
        </w:rPr>
        <w:t xml:space="preserve">be increased </w:t>
      </w:r>
      <w:r w:rsidR="00DF2942">
        <w:rPr>
          <w:rFonts w:ascii="Arial" w:hAnsi="Arial" w:cs="Arial"/>
        </w:rPr>
        <w:t>in accordance with the</w:t>
      </w:r>
      <w:r w:rsidR="00905FF7">
        <w:rPr>
          <w:rFonts w:ascii="Arial" w:hAnsi="Arial" w:cs="Arial"/>
        </w:rPr>
        <w:t xml:space="preserve"> performanc</w:t>
      </w:r>
      <w:r w:rsidR="00D130F9">
        <w:rPr>
          <w:rFonts w:ascii="Arial" w:hAnsi="Arial" w:cs="Arial"/>
        </w:rPr>
        <w:t>e</w:t>
      </w:r>
      <w:r w:rsidR="00905FF7">
        <w:rPr>
          <w:rFonts w:ascii="Arial" w:hAnsi="Arial" w:cs="Arial"/>
        </w:rPr>
        <w:t xml:space="preserve"> categories and salary increase guidelines</w:t>
      </w:r>
      <w:r w:rsidRPr="006F69A3">
        <w:rPr>
          <w:rFonts w:ascii="Arial" w:hAnsi="Arial" w:cs="Arial"/>
        </w:rPr>
        <w:t xml:space="preserve"> </w:t>
      </w:r>
      <w:r w:rsidR="00DF2942">
        <w:rPr>
          <w:rFonts w:ascii="Arial" w:hAnsi="Arial" w:cs="Arial"/>
        </w:rPr>
        <w:t>outlined below</w:t>
      </w:r>
      <w:r w:rsidRPr="006F69A3">
        <w:rPr>
          <w:rFonts w:ascii="Arial" w:hAnsi="Arial" w:cs="Arial"/>
        </w:rPr>
        <w:t>, subject to scale maxima.</w:t>
      </w:r>
    </w:p>
    <w:bookmarkEnd w:id="1"/>
    <w:p w:rsidR="00FC437A" w:rsidRPr="00D51F4B" w:rsidRDefault="00FC437A" w:rsidP="00FC437A">
      <w:pPr>
        <w:numPr>
          <w:ilvl w:val="0"/>
          <w:numId w:val="5"/>
        </w:numPr>
        <w:tabs>
          <w:tab w:val="clear" w:pos="360"/>
          <w:tab w:val="num" w:pos="720"/>
        </w:tabs>
        <w:ind w:left="1440" w:hanging="720"/>
        <w:rPr>
          <w:rFonts w:ascii="Arial" w:hAnsi="Arial" w:cs="Arial"/>
          <w:b/>
        </w:rPr>
      </w:pPr>
      <w:r w:rsidRPr="002F1A16">
        <w:rPr>
          <w:rFonts w:ascii="Arial" w:hAnsi="Arial" w:cs="Arial"/>
        </w:rPr>
        <w:t xml:space="preserve">The </w:t>
      </w:r>
      <w:r w:rsidRPr="00D51F4B">
        <w:rPr>
          <w:rFonts w:ascii="Arial" w:hAnsi="Arial" w:cs="Arial"/>
        </w:rPr>
        <w:t xml:space="preserve">allocation </w:t>
      </w:r>
      <w:r w:rsidR="00971D42">
        <w:rPr>
          <w:rFonts w:ascii="Arial" w:hAnsi="Arial" w:cs="Arial"/>
        </w:rPr>
        <w:t xml:space="preserve">for </w:t>
      </w:r>
      <w:r w:rsidR="00D130F9">
        <w:rPr>
          <w:rFonts w:ascii="Arial" w:hAnsi="Arial" w:cs="Arial"/>
        </w:rPr>
        <w:t xml:space="preserve">the </w:t>
      </w:r>
      <w:r w:rsidR="001E4544">
        <w:rPr>
          <w:rFonts w:ascii="Arial" w:hAnsi="Arial" w:cs="Arial"/>
        </w:rPr>
        <w:t>merit increase</w:t>
      </w:r>
      <w:r w:rsidR="00971D42">
        <w:rPr>
          <w:rFonts w:ascii="Arial" w:hAnsi="Arial" w:cs="Arial"/>
        </w:rPr>
        <w:t xml:space="preserve"> </w:t>
      </w:r>
      <w:r w:rsidRPr="00D51F4B">
        <w:rPr>
          <w:rFonts w:ascii="Arial" w:hAnsi="Arial" w:cs="Arial"/>
        </w:rPr>
        <w:t xml:space="preserve">represents </w:t>
      </w:r>
      <w:r w:rsidR="004C4474" w:rsidRPr="00F7589D">
        <w:rPr>
          <w:rFonts w:ascii="Arial" w:hAnsi="Arial" w:cs="Arial"/>
        </w:rPr>
        <w:t>2</w:t>
      </w:r>
      <w:r w:rsidRPr="00F7589D">
        <w:rPr>
          <w:rFonts w:ascii="Arial" w:hAnsi="Arial" w:cs="Arial"/>
        </w:rPr>
        <w:t>% of all</w:t>
      </w:r>
      <w:r w:rsidRPr="00D51F4B">
        <w:rPr>
          <w:rFonts w:ascii="Arial" w:hAnsi="Arial" w:cs="Arial"/>
        </w:rPr>
        <w:t xml:space="preserve"> eligible salaries.</w:t>
      </w:r>
      <w:r w:rsidR="002F1A16" w:rsidRPr="00D51F4B">
        <w:rPr>
          <w:rFonts w:ascii="Arial" w:hAnsi="Arial" w:cs="Arial"/>
        </w:rPr>
        <w:t xml:space="preserve">  </w:t>
      </w:r>
    </w:p>
    <w:p w:rsidR="00122567" w:rsidRDefault="00122567" w:rsidP="00FC437A">
      <w:pPr>
        <w:rPr>
          <w:rFonts w:ascii="Arial" w:hAnsi="Arial" w:cs="Arial"/>
          <w:b/>
        </w:rPr>
      </w:pPr>
    </w:p>
    <w:p w:rsidR="00C24C93" w:rsidRDefault="00C24C93" w:rsidP="00FC437A">
      <w:pPr>
        <w:rPr>
          <w:rFonts w:ascii="Arial" w:hAnsi="Arial" w:cs="Arial"/>
          <w:b/>
        </w:rPr>
      </w:pPr>
    </w:p>
    <w:p w:rsidR="00FC437A" w:rsidRPr="006F69A3" w:rsidRDefault="00FC437A" w:rsidP="00FC437A">
      <w:pPr>
        <w:rPr>
          <w:rFonts w:ascii="Arial" w:hAnsi="Arial" w:cs="Arial"/>
          <w:b/>
        </w:rPr>
      </w:pPr>
      <w:r w:rsidRPr="006F69A3">
        <w:rPr>
          <w:rFonts w:ascii="Arial" w:hAnsi="Arial" w:cs="Arial"/>
          <w:b/>
        </w:rPr>
        <w:lastRenderedPageBreak/>
        <w:t>ELIGIBILITY RULES</w:t>
      </w:r>
    </w:p>
    <w:p w:rsidR="00FC437A" w:rsidRPr="006F69A3" w:rsidRDefault="00EB4348" w:rsidP="00FC437A">
      <w:pPr>
        <w:rPr>
          <w:rFonts w:ascii="Arial" w:hAnsi="Arial" w:cs="Arial"/>
        </w:rPr>
      </w:pPr>
      <w:r w:rsidRPr="006F69A3">
        <w:rPr>
          <w:rFonts w:ascii="Arial" w:hAnsi="Arial" w:cs="Arial"/>
          <w:noProof/>
          <w:lang w:val="fr-CA" w:eastAsia="fr-CA"/>
        </w:rPr>
        <mc:AlternateContent>
          <mc:Choice Requires="wps">
            <w:drawing>
              <wp:anchor distT="0" distB="0" distL="114300" distR="114300" simplePos="0" relativeHeight="251657728" behindDoc="0" locked="0" layoutInCell="1" allowOverlap="1" wp14:anchorId="21BB61E6" wp14:editId="2CA78AE0">
                <wp:simplePos x="0" y="0"/>
                <wp:positionH relativeFrom="column">
                  <wp:posOffset>0</wp:posOffset>
                </wp:positionH>
                <wp:positionV relativeFrom="paragraph">
                  <wp:posOffset>27940</wp:posOffset>
                </wp:positionV>
                <wp:extent cx="6400800" cy="0"/>
                <wp:effectExtent l="9525" t="5080"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F47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X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L03S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"/>
            </w:pict>
          </mc:Fallback>
        </mc:AlternateContent>
      </w:r>
    </w:p>
    <w:p w:rsidR="00FC437A" w:rsidRPr="006F69A3" w:rsidRDefault="00FC437A" w:rsidP="00FC437A">
      <w:pPr>
        <w:numPr>
          <w:ilvl w:val="6"/>
          <w:numId w:val="6"/>
        </w:numPr>
        <w:rPr>
          <w:rFonts w:ascii="Arial" w:hAnsi="Arial" w:cs="Arial"/>
        </w:rPr>
      </w:pPr>
      <w:r w:rsidRPr="006F69A3">
        <w:rPr>
          <w:rFonts w:ascii="Arial" w:hAnsi="Arial" w:cs="Arial"/>
        </w:rPr>
        <w:t xml:space="preserve">The </w:t>
      </w:r>
      <w:r w:rsidRPr="0055513A">
        <w:rPr>
          <w:rFonts w:ascii="Arial" w:hAnsi="Arial" w:cs="Arial"/>
          <w:i/>
        </w:rPr>
        <w:t xml:space="preserve">reference period being from </w:t>
      </w:r>
      <w:r w:rsidR="00634B12" w:rsidRPr="0055513A">
        <w:rPr>
          <w:rFonts w:ascii="Arial" w:hAnsi="Arial" w:cs="Arial"/>
          <w:i/>
        </w:rPr>
        <w:t xml:space="preserve">January </w:t>
      </w:r>
      <w:r w:rsidR="00642BB0" w:rsidRPr="0055513A">
        <w:rPr>
          <w:rFonts w:ascii="Arial" w:hAnsi="Arial" w:cs="Arial"/>
          <w:i/>
        </w:rPr>
        <w:t>1, 20</w:t>
      </w:r>
      <w:r w:rsidR="00634B12" w:rsidRPr="0055513A">
        <w:rPr>
          <w:rFonts w:ascii="Arial" w:hAnsi="Arial" w:cs="Arial"/>
          <w:i/>
        </w:rPr>
        <w:t>1</w:t>
      </w:r>
      <w:r w:rsidR="0070074D">
        <w:rPr>
          <w:rFonts w:ascii="Arial" w:hAnsi="Arial" w:cs="Arial"/>
          <w:i/>
        </w:rPr>
        <w:t>5</w:t>
      </w:r>
      <w:r w:rsidR="00642BB0" w:rsidRPr="0055513A">
        <w:rPr>
          <w:rFonts w:ascii="Arial" w:hAnsi="Arial" w:cs="Arial"/>
          <w:i/>
        </w:rPr>
        <w:t xml:space="preserve"> </w:t>
      </w:r>
      <w:r w:rsidRPr="0055513A">
        <w:rPr>
          <w:rFonts w:ascii="Arial" w:hAnsi="Arial" w:cs="Arial"/>
          <w:i/>
        </w:rPr>
        <w:t>to</w:t>
      </w:r>
      <w:r w:rsidR="00642BB0" w:rsidRPr="0055513A">
        <w:rPr>
          <w:rFonts w:ascii="Arial" w:hAnsi="Arial" w:cs="Arial"/>
          <w:i/>
        </w:rPr>
        <w:t xml:space="preserve"> December 31,</w:t>
      </w:r>
      <w:r w:rsidRPr="0055513A">
        <w:rPr>
          <w:rFonts w:ascii="Arial" w:hAnsi="Arial" w:cs="Arial"/>
          <w:i/>
        </w:rPr>
        <w:t xml:space="preserve"> 20</w:t>
      </w:r>
      <w:r w:rsidR="00642BB0" w:rsidRPr="0055513A">
        <w:rPr>
          <w:rFonts w:ascii="Arial" w:hAnsi="Arial" w:cs="Arial"/>
          <w:i/>
        </w:rPr>
        <w:t>1</w:t>
      </w:r>
      <w:r w:rsidR="0070074D">
        <w:rPr>
          <w:rFonts w:ascii="Arial" w:hAnsi="Arial" w:cs="Arial"/>
          <w:i/>
        </w:rPr>
        <w:t>5</w:t>
      </w:r>
      <w:r w:rsidRPr="006F69A3">
        <w:rPr>
          <w:rFonts w:ascii="Arial" w:hAnsi="Arial" w:cs="Arial"/>
        </w:rPr>
        <w:t>, an employee must have been appointed to a</w:t>
      </w:r>
      <w:r w:rsidR="008248FD">
        <w:rPr>
          <w:rFonts w:ascii="Arial" w:hAnsi="Arial" w:cs="Arial"/>
        </w:rPr>
        <w:t>n</w:t>
      </w:r>
      <w:r w:rsidRPr="006F69A3">
        <w:rPr>
          <w:rFonts w:ascii="Arial" w:hAnsi="Arial" w:cs="Arial"/>
        </w:rPr>
        <w:t xml:space="preserve"> </w:t>
      </w:r>
      <w:r w:rsidR="00B9389A">
        <w:rPr>
          <w:rFonts w:ascii="Arial" w:hAnsi="Arial" w:cs="Arial"/>
        </w:rPr>
        <w:t xml:space="preserve">executive position, a </w:t>
      </w:r>
      <w:r w:rsidRPr="006F69A3">
        <w:rPr>
          <w:rFonts w:ascii="Arial" w:hAnsi="Arial" w:cs="Arial"/>
        </w:rPr>
        <w:t xml:space="preserve">regular M position </w:t>
      </w:r>
      <w:bookmarkStart w:id="2" w:name="OLE_LINK1"/>
      <w:r w:rsidRPr="006F69A3">
        <w:rPr>
          <w:rFonts w:ascii="Arial" w:hAnsi="Arial" w:cs="Arial"/>
        </w:rPr>
        <w:t>(or a</w:t>
      </w:r>
      <w:r w:rsidR="0070074D">
        <w:rPr>
          <w:rFonts w:ascii="Arial" w:hAnsi="Arial" w:cs="Arial"/>
        </w:rPr>
        <w:t xml:space="preserve">n </w:t>
      </w:r>
      <w:r w:rsidR="0070074D" w:rsidRPr="006F69A3">
        <w:rPr>
          <w:rFonts w:ascii="Arial" w:hAnsi="Arial" w:cs="Arial"/>
        </w:rPr>
        <w:t>excluded</w:t>
      </w:r>
      <w:r w:rsidRPr="006F69A3">
        <w:rPr>
          <w:rFonts w:ascii="Arial" w:hAnsi="Arial" w:cs="Arial"/>
        </w:rPr>
        <w:t xml:space="preserve"> position)</w:t>
      </w:r>
      <w:bookmarkEnd w:id="2"/>
      <w:r w:rsidR="00882637">
        <w:rPr>
          <w:rFonts w:ascii="Arial" w:hAnsi="Arial" w:cs="Arial"/>
        </w:rPr>
        <w:t xml:space="preserve"> by </w:t>
      </w:r>
      <w:r w:rsidR="005F64B6">
        <w:rPr>
          <w:rFonts w:ascii="Arial" w:hAnsi="Arial" w:cs="Arial"/>
        </w:rPr>
        <w:t>December 31, 201</w:t>
      </w:r>
      <w:r w:rsidR="0070074D">
        <w:rPr>
          <w:rFonts w:ascii="Arial" w:hAnsi="Arial" w:cs="Arial"/>
        </w:rPr>
        <w:t>5</w:t>
      </w:r>
      <w:r w:rsidRPr="006F69A3">
        <w:rPr>
          <w:rFonts w:ascii="Arial" w:hAnsi="Arial" w:cs="Arial"/>
        </w:rPr>
        <w:t>.</w:t>
      </w:r>
    </w:p>
    <w:p w:rsidR="00FC437A" w:rsidRPr="006F69A3" w:rsidRDefault="00FC437A" w:rsidP="00FC437A">
      <w:pPr>
        <w:rPr>
          <w:rFonts w:ascii="Arial" w:hAnsi="Arial" w:cs="Arial"/>
        </w:rPr>
      </w:pPr>
    </w:p>
    <w:p w:rsidR="00FC437A" w:rsidRPr="006F69A3" w:rsidRDefault="00FC437A" w:rsidP="00FC437A">
      <w:pPr>
        <w:numPr>
          <w:ilvl w:val="6"/>
          <w:numId w:val="6"/>
        </w:numPr>
        <w:rPr>
          <w:rFonts w:ascii="Arial" w:hAnsi="Arial" w:cs="Arial"/>
        </w:rPr>
      </w:pPr>
      <w:r w:rsidRPr="006F69A3">
        <w:rPr>
          <w:rFonts w:ascii="Arial" w:hAnsi="Arial" w:cs="Arial"/>
        </w:rPr>
        <w:t>In order to receive the increase,</w:t>
      </w:r>
      <w:r w:rsidR="007C6F06">
        <w:rPr>
          <w:rFonts w:ascii="Arial" w:hAnsi="Arial" w:cs="Arial"/>
        </w:rPr>
        <w:t xml:space="preserve"> employees must</w:t>
      </w:r>
      <w:r w:rsidR="00C458D3">
        <w:rPr>
          <w:rFonts w:ascii="Arial" w:hAnsi="Arial" w:cs="Arial"/>
        </w:rPr>
        <w:t xml:space="preserve"> be active </w:t>
      </w:r>
      <w:r w:rsidRPr="006F69A3">
        <w:rPr>
          <w:rFonts w:ascii="Arial" w:hAnsi="Arial" w:cs="Arial"/>
        </w:rPr>
        <w:t>on the date of implementation</w:t>
      </w:r>
      <w:r w:rsidR="0084025A">
        <w:rPr>
          <w:rFonts w:ascii="Arial" w:hAnsi="Arial" w:cs="Arial"/>
        </w:rPr>
        <w:t>,</w:t>
      </w:r>
      <w:r w:rsidRPr="006F69A3">
        <w:rPr>
          <w:rFonts w:ascii="Arial" w:hAnsi="Arial" w:cs="Arial"/>
        </w:rPr>
        <w:t xml:space="preserve"> i.e. </w:t>
      </w:r>
      <w:r w:rsidR="004B3FEF">
        <w:rPr>
          <w:rFonts w:ascii="Arial" w:hAnsi="Arial" w:cs="Arial"/>
        </w:rPr>
        <w:t>June 1</w:t>
      </w:r>
      <w:r w:rsidRPr="006F69A3">
        <w:rPr>
          <w:rFonts w:ascii="Arial" w:hAnsi="Arial" w:cs="Arial"/>
        </w:rPr>
        <w:t xml:space="preserve">, </w:t>
      </w:r>
      <w:r w:rsidR="0055513A">
        <w:rPr>
          <w:rFonts w:ascii="Arial" w:hAnsi="Arial" w:cs="Arial"/>
        </w:rPr>
        <w:t>201</w:t>
      </w:r>
      <w:r w:rsidR="0070074D">
        <w:rPr>
          <w:rFonts w:ascii="Arial" w:hAnsi="Arial" w:cs="Arial"/>
        </w:rPr>
        <w:t>6</w:t>
      </w:r>
      <w:r w:rsidRPr="006F69A3">
        <w:rPr>
          <w:rFonts w:ascii="Arial" w:hAnsi="Arial" w:cs="Arial"/>
        </w:rPr>
        <w:t>.</w:t>
      </w:r>
    </w:p>
    <w:p w:rsidR="00FC437A" w:rsidRPr="006F69A3" w:rsidRDefault="00FC437A" w:rsidP="00FC437A">
      <w:pPr>
        <w:rPr>
          <w:rFonts w:ascii="Arial" w:hAnsi="Arial" w:cs="Arial"/>
        </w:rPr>
      </w:pPr>
    </w:p>
    <w:p w:rsidR="00FC437A" w:rsidRPr="006F69A3" w:rsidRDefault="00FC437A" w:rsidP="00FC437A">
      <w:pPr>
        <w:numPr>
          <w:ilvl w:val="6"/>
          <w:numId w:val="6"/>
        </w:numPr>
        <w:rPr>
          <w:rFonts w:ascii="Arial" w:hAnsi="Arial" w:cs="Arial"/>
        </w:rPr>
      </w:pPr>
      <w:r w:rsidRPr="006F69A3">
        <w:rPr>
          <w:rFonts w:ascii="Arial" w:hAnsi="Arial" w:cs="Arial"/>
        </w:rPr>
        <w:t>Employees hired under the Temporary Employment Policy are not covered by this salary policy.</w:t>
      </w:r>
    </w:p>
    <w:p w:rsidR="00FC437A" w:rsidRPr="006F69A3" w:rsidRDefault="00FC437A" w:rsidP="00FC437A">
      <w:pPr>
        <w:rPr>
          <w:rFonts w:ascii="Arial" w:hAnsi="Arial" w:cs="Arial"/>
        </w:rPr>
      </w:pPr>
    </w:p>
    <w:p w:rsidR="006F69A3" w:rsidRDefault="00122567" w:rsidP="006F69A3">
      <w:pPr>
        <w:ind w:left="1440"/>
        <w:rPr>
          <w:rFonts w:ascii="Arial" w:hAnsi="Arial" w:cs="Arial"/>
        </w:rPr>
      </w:pPr>
      <w:r>
        <w:rPr>
          <w:rFonts w:ascii="Arial" w:hAnsi="Arial" w:cs="Arial"/>
        </w:rPr>
        <w:t xml:space="preserve"> </w:t>
      </w:r>
    </w:p>
    <w:p w:rsidR="006F69A3" w:rsidRPr="00135E77" w:rsidRDefault="006F69A3" w:rsidP="00B367C0">
      <w:pPr>
        <w:rPr>
          <w:rFonts w:ascii="Arial" w:hAnsi="Arial" w:cs="Arial"/>
        </w:rPr>
      </w:pPr>
      <w:r w:rsidRPr="00135E77">
        <w:rPr>
          <w:rFonts w:ascii="Arial" w:hAnsi="Arial" w:cs="Arial"/>
          <w:b/>
        </w:rPr>
        <w:t xml:space="preserve">PERFORMANCE </w:t>
      </w:r>
      <w:r w:rsidR="00905FF7" w:rsidRPr="00135E77">
        <w:rPr>
          <w:rFonts w:ascii="Arial" w:hAnsi="Arial" w:cs="Arial"/>
          <w:b/>
        </w:rPr>
        <w:t xml:space="preserve">CATEGORIES AND SALARY INCREASE </w:t>
      </w:r>
      <w:r w:rsidRPr="00135E77">
        <w:rPr>
          <w:rFonts w:ascii="Arial" w:hAnsi="Arial" w:cs="Arial"/>
          <w:b/>
        </w:rPr>
        <w:t>GUIDELINES</w:t>
      </w:r>
    </w:p>
    <w:p w:rsidR="006530E3" w:rsidRDefault="00135E77" w:rsidP="00B367C0">
      <w:pPr>
        <w:rPr>
          <w:rFonts w:ascii="Arial" w:hAnsi="Arial" w:cs="Arial"/>
          <w:sz w:val="22"/>
          <w:szCs w:val="22"/>
        </w:rPr>
      </w:pPr>
      <w:r w:rsidRPr="006F69A3">
        <w:rPr>
          <w:rFonts w:ascii="Arial" w:hAnsi="Arial" w:cs="Arial"/>
          <w:noProof/>
          <w:lang w:val="fr-CA" w:eastAsia="fr-CA"/>
        </w:rPr>
        <mc:AlternateContent>
          <mc:Choice Requires="wps">
            <w:drawing>
              <wp:anchor distT="0" distB="0" distL="114300" distR="114300" simplePos="0" relativeHeight="251659776" behindDoc="0" locked="0" layoutInCell="1" allowOverlap="1" wp14:anchorId="0EEA35D9" wp14:editId="4A207137">
                <wp:simplePos x="0" y="0"/>
                <wp:positionH relativeFrom="column">
                  <wp:posOffset>0</wp:posOffset>
                </wp:positionH>
                <wp:positionV relativeFrom="paragraph">
                  <wp:posOffset>4445</wp:posOffset>
                </wp:positionV>
                <wp:extent cx="6400800" cy="0"/>
                <wp:effectExtent l="9525" t="5080" r="952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DA68"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"/>
            </w:pict>
          </mc:Fallback>
        </mc:AlternateContent>
      </w:r>
    </w:p>
    <w:p w:rsidR="006F69A3" w:rsidRDefault="00413545" w:rsidP="00B367C0">
      <w:pPr>
        <w:rPr>
          <w:rFonts w:ascii="Arial" w:hAnsi="Arial" w:cs="Arial"/>
          <w:sz w:val="22"/>
          <w:szCs w:val="22"/>
        </w:rPr>
      </w:pPr>
      <w:r>
        <w:rPr>
          <w:rFonts w:ascii="Arial" w:hAnsi="Arial" w:cs="Arial"/>
        </w:rPr>
        <w:t>There are f</w:t>
      </w:r>
      <w:r w:rsidR="00C24C93">
        <w:rPr>
          <w:rFonts w:ascii="Arial" w:hAnsi="Arial" w:cs="Arial"/>
        </w:rPr>
        <w:t xml:space="preserve">ive </w:t>
      </w:r>
      <w:r>
        <w:rPr>
          <w:rFonts w:ascii="Arial" w:hAnsi="Arial" w:cs="Arial"/>
        </w:rPr>
        <w:t>(</w:t>
      </w:r>
      <w:r w:rsidR="00C24C93">
        <w:rPr>
          <w:rFonts w:ascii="Arial" w:hAnsi="Arial" w:cs="Arial"/>
        </w:rPr>
        <w:t>5</w:t>
      </w:r>
      <w:r w:rsidR="006F69A3" w:rsidRPr="00C31DFD">
        <w:rPr>
          <w:rFonts w:ascii="Arial" w:hAnsi="Arial" w:cs="Arial"/>
        </w:rPr>
        <w:t xml:space="preserve">) </w:t>
      </w:r>
      <w:r w:rsidR="00930BBF">
        <w:rPr>
          <w:rFonts w:ascii="Arial" w:hAnsi="Arial" w:cs="Arial"/>
        </w:rPr>
        <w:t>categories</w:t>
      </w:r>
      <w:r w:rsidR="006F69A3" w:rsidRPr="00C31DFD">
        <w:rPr>
          <w:rFonts w:ascii="Arial" w:hAnsi="Arial" w:cs="Arial"/>
        </w:rPr>
        <w:t xml:space="preserve">, listed below with </w:t>
      </w:r>
      <w:r>
        <w:rPr>
          <w:rFonts w:ascii="Arial" w:hAnsi="Arial" w:cs="Arial"/>
        </w:rPr>
        <w:t xml:space="preserve">corresponding </w:t>
      </w:r>
      <w:r w:rsidR="00981365">
        <w:rPr>
          <w:rFonts w:ascii="Arial" w:hAnsi="Arial" w:cs="Arial"/>
        </w:rPr>
        <w:t>increases</w:t>
      </w:r>
      <w:r w:rsidR="006F69A3">
        <w:rPr>
          <w:rFonts w:ascii="Arial" w:hAnsi="Arial" w:cs="Arial"/>
          <w:sz w:val="22"/>
          <w:szCs w:val="22"/>
        </w:rPr>
        <w:t>.</w:t>
      </w:r>
    </w:p>
    <w:p w:rsidR="0055513A" w:rsidRDefault="0055513A" w:rsidP="00B367C0">
      <w:pPr>
        <w:rPr>
          <w:rFonts w:ascii="Arial" w:hAnsi="Arial" w:cs="Arial"/>
          <w:sz w:val="22"/>
          <w:szCs w:val="22"/>
        </w:rPr>
      </w:pPr>
    </w:p>
    <w:tbl>
      <w:tblPr>
        <w:tblW w:w="1105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6"/>
        <w:gridCol w:w="4110"/>
        <w:gridCol w:w="1283"/>
        <w:gridCol w:w="1973"/>
      </w:tblGrid>
      <w:tr w:rsidR="00A20CB4" w:rsidRPr="00821BF2" w:rsidTr="00A20CB4">
        <w:trPr>
          <w:trHeight w:val="614"/>
          <w:jc w:val="center"/>
        </w:trPr>
        <w:tc>
          <w:tcPr>
            <w:tcW w:w="3686" w:type="dxa"/>
            <w:shd w:val="clear" w:color="auto" w:fill="C0C0C0"/>
            <w:noWrap/>
            <w:vAlign w:val="center"/>
            <w:hideMark/>
          </w:tcPr>
          <w:p w:rsidR="00A20CB4" w:rsidRPr="00821BF2" w:rsidRDefault="00A20CB4" w:rsidP="00E85AFE">
            <w:pPr>
              <w:jc w:val="center"/>
              <w:rPr>
                <w:rFonts w:ascii="Arial" w:hAnsi="Arial" w:cs="Arial"/>
                <w:b/>
                <w:sz w:val="21"/>
                <w:szCs w:val="21"/>
              </w:rPr>
            </w:pPr>
            <w:r w:rsidRPr="00821BF2">
              <w:rPr>
                <w:rFonts w:ascii="Arial" w:hAnsi="Arial" w:cs="Arial"/>
                <w:b/>
                <w:sz w:val="21"/>
                <w:szCs w:val="21"/>
              </w:rPr>
              <w:t>Level of performance</w:t>
            </w:r>
          </w:p>
        </w:tc>
        <w:tc>
          <w:tcPr>
            <w:tcW w:w="4110" w:type="dxa"/>
            <w:shd w:val="clear" w:color="auto" w:fill="C0C0C0"/>
          </w:tcPr>
          <w:p w:rsidR="00A20CB4" w:rsidRDefault="00A20CB4" w:rsidP="00A20CB4">
            <w:pPr>
              <w:jc w:val="center"/>
              <w:rPr>
                <w:rFonts w:ascii="Arial" w:hAnsi="Arial" w:cs="Arial"/>
                <w:b/>
                <w:sz w:val="21"/>
                <w:szCs w:val="21"/>
              </w:rPr>
            </w:pPr>
          </w:p>
          <w:p w:rsidR="00A20CB4" w:rsidRPr="00821BF2" w:rsidRDefault="00A20CB4" w:rsidP="00A20CB4">
            <w:pPr>
              <w:jc w:val="center"/>
              <w:rPr>
                <w:rFonts w:ascii="Arial" w:hAnsi="Arial" w:cs="Arial"/>
                <w:b/>
                <w:sz w:val="21"/>
                <w:szCs w:val="21"/>
              </w:rPr>
            </w:pPr>
            <w:r>
              <w:rPr>
                <w:rFonts w:ascii="Arial" w:hAnsi="Arial" w:cs="Arial"/>
                <w:b/>
                <w:sz w:val="21"/>
                <w:szCs w:val="21"/>
              </w:rPr>
              <w:t>Definitions</w:t>
            </w:r>
          </w:p>
        </w:tc>
        <w:tc>
          <w:tcPr>
            <w:tcW w:w="1283" w:type="dxa"/>
            <w:shd w:val="clear" w:color="auto" w:fill="C0C0C0"/>
            <w:vAlign w:val="center"/>
          </w:tcPr>
          <w:p w:rsidR="00A20CB4" w:rsidRPr="00821BF2" w:rsidRDefault="00A20CB4" w:rsidP="00E85AFE">
            <w:pPr>
              <w:jc w:val="center"/>
              <w:rPr>
                <w:rFonts w:ascii="Arial" w:hAnsi="Arial" w:cs="Arial"/>
                <w:b/>
                <w:sz w:val="21"/>
                <w:szCs w:val="21"/>
              </w:rPr>
            </w:pPr>
            <w:r w:rsidRPr="00821BF2">
              <w:rPr>
                <w:rFonts w:ascii="Arial" w:hAnsi="Arial" w:cs="Arial"/>
                <w:b/>
                <w:sz w:val="21"/>
                <w:szCs w:val="21"/>
              </w:rPr>
              <w:t>Economic Increase</w:t>
            </w:r>
          </w:p>
        </w:tc>
        <w:tc>
          <w:tcPr>
            <w:tcW w:w="1973" w:type="dxa"/>
            <w:shd w:val="clear" w:color="auto" w:fill="C0C0C0"/>
            <w:vAlign w:val="center"/>
            <w:hideMark/>
          </w:tcPr>
          <w:p w:rsidR="00A20CB4" w:rsidRPr="00821BF2" w:rsidRDefault="00A20CB4" w:rsidP="00E85AFE">
            <w:pPr>
              <w:jc w:val="center"/>
              <w:rPr>
                <w:rFonts w:ascii="Arial" w:hAnsi="Arial" w:cs="Arial"/>
                <w:b/>
                <w:sz w:val="21"/>
                <w:szCs w:val="21"/>
              </w:rPr>
            </w:pPr>
            <w:r w:rsidRPr="00821BF2">
              <w:rPr>
                <w:rFonts w:ascii="Arial" w:hAnsi="Arial" w:cs="Arial"/>
                <w:b/>
                <w:sz w:val="21"/>
                <w:szCs w:val="21"/>
              </w:rPr>
              <w:t>Merit Increase</w:t>
            </w:r>
          </w:p>
        </w:tc>
      </w:tr>
      <w:tr w:rsidR="00A20CB4" w:rsidRPr="00821BF2" w:rsidTr="00A20CB4">
        <w:trPr>
          <w:trHeight w:val="1261"/>
          <w:jc w:val="center"/>
        </w:trPr>
        <w:tc>
          <w:tcPr>
            <w:tcW w:w="3686" w:type="dxa"/>
            <w:noWrap/>
            <w:vAlign w:val="center"/>
            <w:hideMark/>
          </w:tcPr>
          <w:p w:rsidR="00A20CB4" w:rsidRPr="00A20CB4" w:rsidRDefault="00A20CB4" w:rsidP="00A20CB4">
            <w:pPr>
              <w:jc w:val="center"/>
              <w:rPr>
                <w:rFonts w:ascii="Verdana" w:hAnsi="Verdana" w:cs="Arial"/>
                <w:b/>
                <w:color w:val="000000"/>
                <w:sz w:val="21"/>
                <w:szCs w:val="21"/>
              </w:rPr>
            </w:pPr>
            <w:r w:rsidRPr="00A20CB4">
              <w:rPr>
                <w:rFonts w:ascii="Arial" w:hAnsi="Arial" w:cs="Arial"/>
                <w:b/>
                <w:sz w:val="21"/>
                <w:szCs w:val="21"/>
              </w:rPr>
              <w:t>Leading performer</w:t>
            </w:r>
          </w:p>
        </w:tc>
        <w:tc>
          <w:tcPr>
            <w:tcW w:w="4110" w:type="dxa"/>
            <w:vAlign w:val="center"/>
          </w:tcPr>
          <w:p w:rsidR="00A20CB4" w:rsidRPr="003024CA" w:rsidRDefault="00A20CB4" w:rsidP="00A20CB4">
            <w:pPr>
              <w:jc w:val="center"/>
              <w:rPr>
                <w:rFonts w:ascii="Arial" w:hAnsi="Arial" w:cs="Arial"/>
                <w:sz w:val="18"/>
                <w:szCs w:val="18"/>
              </w:rPr>
            </w:pPr>
            <w:r w:rsidRPr="003024CA">
              <w:rPr>
                <w:rFonts w:ascii="ArialMT" w:hAnsi="ArialMT" w:cs="ArialMT"/>
                <w:sz w:val="18"/>
                <w:szCs w:val="18"/>
              </w:rPr>
              <w:t>Incumbent consistently excels in the attainment of performance goals and objectives through outstanding achievements. Work is consistently of superior quality in all areas of responsibility. Results of projects and goals added significant value to the team, the department and the University</w:t>
            </w:r>
          </w:p>
        </w:tc>
        <w:tc>
          <w:tcPr>
            <w:tcW w:w="1283" w:type="dxa"/>
            <w:vAlign w:val="center"/>
          </w:tcPr>
          <w:p w:rsidR="00A20CB4" w:rsidRPr="00821BF2" w:rsidRDefault="00A20CB4" w:rsidP="00A20CB4">
            <w:pPr>
              <w:jc w:val="center"/>
              <w:rPr>
                <w:rFonts w:ascii="Arial" w:hAnsi="Arial" w:cs="Arial"/>
                <w:sz w:val="21"/>
                <w:szCs w:val="21"/>
              </w:rPr>
            </w:pPr>
            <w:r w:rsidRPr="00821BF2">
              <w:rPr>
                <w:rFonts w:ascii="Arial" w:hAnsi="Arial" w:cs="Arial"/>
                <w:sz w:val="21"/>
                <w:szCs w:val="21"/>
              </w:rPr>
              <w:t>1%</w:t>
            </w:r>
          </w:p>
        </w:tc>
        <w:tc>
          <w:tcPr>
            <w:tcW w:w="1973" w:type="dxa"/>
            <w:vAlign w:val="center"/>
          </w:tcPr>
          <w:p w:rsidR="00A20CB4" w:rsidRPr="0055513A" w:rsidRDefault="00A20CB4" w:rsidP="00A20CB4">
            <w:pPr>
              <w:jc w:val="center"/>
              <w:rPr>
                <w:rFonts w:ascii="Arial" w:hAnsi="Arial" w:cs="Arial"/>
                <w:b/>
                <w:sz w:val="21"/>
                <w:szCs w:val="21"/>
              </w:rPr>
            </w:pPr>
            <w:r w:rsidRPr="0055513A">
              <w:rPr>
                <w:rFonts w:ascii="Arial" w:hAnsi="Arial" w:cs="Arial"/>
                <w:b/>
                <w:sz w:val="21"/>
                <w:szCs w:val="21"/>
              </w:rPr>
              <w:t>Based on recommendation from immediate supervisor</w:t>
            </w:r>
          </w:p>
        </w:tc>
      </w:tr>
      <w:tr w:rsidR="00A20CB4" w:rsidRPr="00821BF2" w:rsidTr="00A20CB4">
        <w:trPr>
          <w:trHeight w:val="1136"/>
          <w:jc w:val="center"/>
        </w:trPr>
        <w:tc>
          <w:tcPr>
            <w:tcW w:w="3686" w:type="dxa"/>
            <w:noWrap/>
            <w:vAlign w:val="center"/>
            <w:hideMark/>
          </w:tcPr>
          <w:p w:rsidR="00A20CB4" w:rsidRPr="00A20CB4" w:rsidRDefault="00A20CB4" w:rsidP="00A20CB4">
            <w:pPr>
              <w:jc w:val="center"/>
              <w:rPr>
                <w:rFonts w:ascii="Verdana" w:hAnsi="Verdana" w:cs="Arial"/>
                <w:b/>
                <w:color w:val="000000"/>
                <w:sz w:val="21"/>
                <w:szCs w:val="21"/>
              </w:rPr>
            </w:pPr>
            <w:r w:rsidRPr="00A20CB4">
              <w:rPr>
                <w:rFonts w:ascii="Arial" w:hAnsi="Arial" w:cs="Arial"/>
                <w:b/>
                <w:sz w:val="21"/>
                <w:szCs w:val="21"/>
              </w:rPr>
              <w:t>Consistent or Strong performer</w:t>
            </w:r>
          </w:p>
        </w:tc>
        <w:tc>
          <w:tcPr>
            <w:tcW w:w="4110" w:type="dxa"/>
            <w:vAlign w:val="center"/>
          </w:tcPr>
          <w:p w:rsidR="00A20CB4" w:rsidRPr="003024CA" w:rsidRDefault="00A20CB4" w:rsidP="00A20CB4">
            <w:pPr>
              <w:jc w:val="center"/>
              <w:rPr>
                <w:rFonts w:ascii="Arial" w:hAnsi="Arial" w:cs="Arial"/>
                <w:sz w:val="18"/>
                <w:szCs w:val="18"/>
              </w:rPr>
            </w:pPr>
            <w:r w:rsidRPr="003024CA">
              <w:rPr>
                <w:rFonts w:ascii="Arial" w:hAnsi="Arial" w:cs="Arial"/>
                <w:sz w:val="18"/>
                <w:szCs w:val="18"/>
              </w:rPr>
              <w:t>Incumbent consistently achieves performance goals and objectives. Work is of good quality and the incumbent makes a positive contribution to the department. Initiative, resourcefulness and good judgment consistently exercised in accomplishment of goals.</w:t>
            </w:r>
          </w:p>
        </w:tc>
        <w:tc>
          <w:tcPr>
            <w:tcW w:w="1283" w:type="dxa"/>
            <w:vAlign w:val="center"/>
          </w:tcPr>
          <w:p w:rsidR="00A20CB4" w:rsidRPr="00821BF2" w:rsidRDefault="00A20CB4" w:rsidP="00A20CB4">
            <w:pPr>
              <w:jc w:val="center"/>
              <w:rPr>
                <w:rFonts w:ascii="Arial" w:hAnsi="Arial" w:cs="Arial"/>
                <w:sz w:val="21"/>
                <w:szCs w:val="21"/>
              </w:rPr>
            </w:pPr>
            <w:r w:rsidRPr="00821BF2">
              <w:rPr>
                <w:rFonts w:ascii="Arial" w:hAnsi="Arial" w:cs="Arial"/>
                <w:sz w:val="21"/>
                <w:szCs w:val="21"/>
              </w:rPr>
              <w:t>1%</w:t>
            </w:r>
          </w:p>
        </w:tc>
        <w:tc>
          <w:tcPr>
            <w:tcW w:w="1973" w:type="dxa"/>
            <w:vAlign w:val="center"/>
          </w:tcPr>
          <w:p w:rsidR="00A20CB4" w:rsidRPr="0055513A" w:rsidRDefault="00A20CB4" w:rsidP="00A20CB4">
            <w:pPr>
              <w:jc w:val="center"/>
              <w:rPr>
                <w:rFonts w:ascii="Arial" w:hAnsi="Arial" w:cs="Arial"/>
                <w:b/>
                <w:sz w:val="21"/>
                <w:szCs w:val="21"/>
              </w:rPr>
            </w:pPr>
            <w:r w:rsidRPr="0055513A">
              <w:rPr>
                <w:rFonts w:ascii="Arial" w:hAnsi="Arial" w:cs="Arial"/>
                <w:b/>
                <w:sz w:val="21"/>
                <w:szCs w:val="21"/>
              </w:rPr>
              <w:t>Based on recommendation from immediate supervisor</w:t>
            </w:r>
          </w:p>
        </w:tc>
      </w:tr>
      <w:tr w:rsidR="00A20CB4" w:rsidRPr="00821BF2" w:rsidTr="00A20CB4">
        <w:trPr>
          <w:trHeight w:val="959"/>
          <w:jc w:val="center"/>
        </w:trPr>
        <w:tc>
          <w:tcPr>
            <w:tcW w:w="3686" w:type="dxa"/>
            <w:noWrap/>
            <w:vAlign w:val="center"/>
            <w:hideMark/>
          </w:tcPr>
          <w:p w:rsidR="00A20CB4" w:rsidRPr="00A20CB4" w:rsidRDefault="00A20CB4" w:rsidP="00A20CB4">
            <w:pPr>
              <w:jc w:val="center"/>
              <w:rPr>
                <w:rFonts w:ascii="Verdana" w:hAnsi="Verdana" w:cs="Arial"/>
                <w:b/>
                <w:color w:val="000000"/>
                <w:sz w:val="21"/>
                <w:szCs w:val="21"/>
              </w:rPr>
            </w:pPr>
            <w:r w:rsidRPr="00A20CB4">
              <w:rPr>
                <w:rFonts w:ascii="Arial" w:hAnsi="Arial" w:cs="Arial"/>
                <w:b/>
                <w:sz w:val="21"/>
                <w:szCs w:val="21"/>
              </w:rPr>
              <w:t>Building consistency</w:t>
            </w:r>
          </w:p>
        </w:tc>
        <w:tc>
          <w:tcPr>
            <w:tcW w:w="4110" w:type="dxa"/>
            <w:vAlign w:val="center"/>
          </w:tcPr>
          <w:p w:rsidR="00A20CB4" w:rsidRPr="00A20CB4" w:rsidRDefault="00A20CB4" w:rsidP="00A20CB4">
            <w:pPr>
              <w:autoSpaceDE w:val="0"/>
              <w:autoSpaceDN w:val="0"/>
              <w:adjustRightInd w:val="0"/>
              <w:jc w:val="center"/>
              <w:rPr>
                <w:rFonts w:ascii="Arial" w:hAnsi="Arial" w:cs="Arial"/>
                <w:sz w:val="18"/>
                <w:szCs w:val="18"/>
              </w:rPr>
            </w:pPr>
            <w:r w:rsidRPr="003024CA">
              <w:rPr>
                <w:rFonts w:ascii="Arial" w:hAnsi="Arial" w:cs="Arial"/>
                <w:sz w:val="18"/>
                <w:szCs w:val="18"/>
              </w:rPr>
              <w:t xml:space="preserve">Incumbent sometimes but not consistently achieves goals. Quality of work is below expectations in some areas of responsibility. The incumbent requires guidance to achieve objectives. </w:t>
            </w:r>
            <w:r>
              <w:rPr>
                <w:rFonts w:ascii="Arial" w:hAnsi="Arial" w:cs="Arial"/>
                <w:sz w:val="18"/>
                <w:szCs w:val="18"/>
              </w:rPr>
              <w:t xml:space="preserve"> </w:t>
            </w:r>
          </w:p>
        </w:tc>
        <w:tc>
          <w:tcPr>
            <w:tcW w:w="1283" w:type="dxa"/>
            <w:vAlign w:val="center"/>
          </w:tcPr>
          <w:p w:rsidR="00A20CB4" w:rsidRPr="00821BF2" w:rsidRDefault="00A20CB4" w:rsidP="00A20CB4">
            <w:pPr>
              <w:jc w:val="center"/>
              <w:rPr>
                <w:rFonts w:ascii="Arial" w:hAnsi="Arial" w:cs="Arial"/>
                <w:sz w:val="21"/>
                <w:szCs w:val="21"/>
              </w:rPr>
            </w:pPr>
            <w:r w:rsidRPr="00821BF2">
              <w:rPr>
                <w:rFonts w:ascii="Arial" w:hAnsi="Arial" w:cs="Arial"/>
                <w:sz w:val="21"/>
                <w:szCs w:val="21"/>
              </w:rPr>
              <w:t>1%</w:t>
            </w:r>
          </w:p>
        </w:tc>
        <w:tc>
          <w:tcPr>
            <w:tcW w:w="1973" w:type="dxa"/>
            <w:vAlign w:val="center"/>
          </w:tcPr>
          <w:p w:rsidR="00A20CB4" w:rsidRPr="0055513A" w:rsidRDefault="000124E1" w:rsidP="00A20CB4">
            <w:pPr>
              <w:jc w:val="center"/>
              <w:rPr>
                <w:rFonts w:ascii="Arial" w:hAnsi="Arial" w:cs="Arial"/>
                <w:b/>
                <w:sz w:val="21"/>
                <w:szCs w:val="21"/>
              </w:rPr>
            </w:pPr>
            <w:r>
              <w:rPr>
                <w:rFonts w:ascii="Arial" w:hAnsi="Arial" w:cs="Arial"/>
                <w:b/>
                <w:sz w:val="21"/>
                <w:szCs w:val="21"/>
              </w:rPr>
              <w:t>None</w:t>
            </w:r>
          </w:p>
        </w:tc>
      </w:tr>
      <w:tr w:rsidR="00A20CB4" w:rsidRPr="00821BF2" w:rsidTr="00A20CB4">
        <w:trPr>
          <w:trHeight w:val="709"/>
          <w:jc w:val="center"/>
        </w:trPr>
        <w:tc>
          <w:tcPr>
            <w:tcW w:w="3686" w:type="dxa"/>
            <w:noWrap/>
            <w:vAlign w:val="center"/>
            <w:hideMark/>
          </w:tcPr>
          <w:p w:rsidR="00A20CB4" w:rsidRPr="00A20CB4" w:rsidRDefault="00A20CB4" w:rsidP="00A20CB4">
            <w:pPr>
              <w:ind w:left="313" w:hanging="313"/>
              <w:jc w:val="center"/>
              <w:rPr>
                <w:rFonts w:ascii="Verdana" w:hAnsi="Verdana" w:cs="Arial"/>
                <w:b/>
                <w:color w:val="000000"/>
                <w:sz w:val="21"/>
                <w:szCs w:val="21"/>
              </w:rPr>
            </w:pPr>
            <w:r w:rsidRPr="00A20CB4">
              <w:rPr>
                <w:rFonts w:ascii="Arial" w:hAnsi="Arial" w:cs="Arial"/>
                <w:b/>
                <w:sz w:val="21"/>
                <w:szCs w:val="21"/>
              </w:rPr>
              <w:t>Requires immediate improvement</w:t>
            </w:r>
          </w:p>
        </w:tc>
        <w:tc>
          <w:tcPr>
            <w:tcW w:w="4110" w:type="dxa"/>
            <w:vAlign w:val="center"/>
          </w:tcPr>
          <w:p w:rsidR="00A20CB4" w:rsidRPr="003024CA" w:rsidRDefault="00A20CB4" w:rsidP="00BA786A">
            <w:pPr>
              <w:jc w:val="center"/>
              <w:rPr>
                <w:rFonts w:ascii="Arial" w:hAnsi="Arial" w:cs="Arial"/>
                <w:sz w:val="18"/>
                <w:szCs w:val="18"/>
              </w:rPr>
            </w:pPr>
            <w:r w:rsidRPr="003024CA">
              <w:rPr>
                <w:rFonts w:ascii="Arial" w:hAnsi="Arial" w:cs="Arial"/>
                <w:bCs/>
                <w:sz w:val="18"/>
                <w:szCs w:val="18"/>
              </w:rPr>
              <w:t>Incumbent does not achieve goals and objectives. Work is consistently below expectations. Appropriate action must be taken in consultation with</w:t>
            </w:r>
            <w:r w:rsidR="00BA786A">
              <w:rPr>
                <w:rFonts w:ascii="Arial" w:hAnsi="Arial" w:cs="Arial"/>
                <w:bCs/>
                <w:sz w:val="18"/>
                <w:szCs w:val="18"/>
              </w:rPr>
              <w:t xml:space="preserve"> Human Resources.</w:t>
            </w:r>
          </w:p>
        </w:tc>
        <w:tc>
          <w:tcPr>
            <w:tcW w:w="1283" w:type="dxa"/>
            <w:vAlign w:val="center"/>
          </w:tcPr>
          <w:p w:rsidR="00A20CB4" w:rsidRPr="0055513A" w:rsidRDefault="000124E1" w:rsidP="00A20CB4">
            <w:pPr>
              <w:jc w:val="center"/>
              <w:rPr>
                <w:rFonts w:ascii="Arial" w:hAnsi="Arial" w:cs="Arial"/>
                <w:b/>
                <w:sz w:val="21"/>
                <w:szCs w:val="21"/>
              </w:rPr>
            </w:pPr>
            <w:r>
              <w:rPr>
                <w:rFonts w:ascii="Arial" w:hAnsi="Arial" w:cs="Arial"/>
                <w:b/>
                <w:sz w:val="21"/>
                <w:szCs w:val="21"/>
              </w:rPr>
              <w:t>None</w:t>
            </w:r>
            <w:r w:rsidR="00A20CB4" w:rsidRPr="0055513A">
              <w:rPr>
                <w:rFonts w:ascii="Arial" w:hAnsi="Arial" w:cs="Arial"/>
                <w:b/>
                <w:sz w:val="21"/>
                <w:szCs w:val="21"/>
              </w:rPr>
              <w:t xml:space="preserve"> </w:t>
            </w:r>
          </w:p>
        </w:tc>
        <w:tc>
          <w:tcPr>
            <w:tcW w:w="1973" w:type="dxa"/>
            <w:vAlign w:val="center"/>
          </w:tcPr>
          <w:p w:rsidR="00A20CB4" w:rsidRPr="0055513A" w:rsidRDefault="000124E1" w:rsidP="00A20CB4">
            <w:pPr>
              <w:jc w:val="center"/>
              <w:rPr>
                <w:rFonts w:ascii="Arial" w:hAnsi="Arial" w:cs="Arial"/>
                <w:b/>
                <w:sz w:val="21"/>
                <w:szCs w:val="21"/>
              </w:rPr>
            </w:pPr>
            <w:r>
              <w:rPr>
                <w:rFonts w:ascii="Arial" w:hAnsi="Arial" w:cs="Arial"/>
                <w:b/>
                <w:sz w:val="21"/>
                <w:szCs w:val="21"/>
              </w:rPr>
              <w:t>None</w:t>
            </w:r>
          </w:p>
        </w:tc>
      </w:tr>
      <w:tr w:rsidR="00A20CB4" w:rsidRPr="00821BF2" w:rsidTr="00A20CB4">
        <w:trPr>
          <w:trHeight w:val="692"/>
          <w:jc w:val="center"/>
        </w:trPr>
        <w:tc>
          <w:tcPr>
            <w:tcW w:w="3686" w:type="dxa"/>
            <w:noWrap/>
            <w:vAlign w:val="center"/>
            <w:hideMark/>
          </w:tcPr>
          <w:p w:rsidR="00A20CB4" w:rsidRPr="00A20CB4" w:rsidRDefault="00A20CB4" w:rsidP="00A20CB4">
            <w:pPr>
              <w:jc w:val="center"/>
              <w:rPr>
                <w:rFonts w:ascii="Arial" w:hAnsi="Arial" w:cs="Arial"/>
                <w:b/>
                <w:sz w:val="21"/>
                <w:szCs w:val="21"/>
              </w:rPr>
            </w:pPr>
            <w:r w:rsidRPr="00A20CB4">
              <w:rPr>
                <w:rFonts w:ascii="Arial" w:hAnsi="Arial" w:cs="Arial"/>
                <w:b/>
                <w:sz w:val="21"/>
                <w:szCs w:val="21"/>
              </w:rPr>
              <w:t>Not applicable</w:t>
            </w:r>
          </w:p>
        </w:tc>
        <w:tc>
          <w:tcPr>
            <w:tcW w:w="4110" w:type="dxa"/>
            <w:vAlign w:val="center"/>
          </w:tcPr>
          <w:p w:rsidR="00A20CB4" w:rsidRPr="00930BBF" w:rsidRDefault="00A20CB4" w:rsidP="00A20CB4">
            <w:pPr>
              <w:jc w:val="center"/>
              <w:rPr>
                <w:rFonts w:ascii="Arial" w:hAnsi="Arial" w:cs="Arial"/>
                <w:bCs/>
                <w:sz w:val="18"/>
                <w:szCs w:val="18"/>
              </w:rPr>
            </w:pPr>
            <w:r>
              <w:rPr>
                <w:rFonts w:ascii="Arial" w:hAnsi="Arial" w:cs="Arial"/>
                <w:bCs/>
                <w:sz w:val="18"/>
                <w:szCs w:val="18"/>
              </w:rPr>
              <w:t>May be used when i</w:t>
            </w:r>
            <w:r w:rsidRPr="00930BBF">
              <w:rPr>
                <w:rFonts w:ascii="Arial" w:hAnsi="Arial" w:cs="Arial"/>
                <w:bCs/>
                <w:sz w:val="18"/>
                <w:szCs w:val="18"/>
              </w:rPr>
              <w:t>ncumbent has been absent for a significant amount of time during the performance period</w:t>
            </w:r>
            <w:r>
              <w:rPr>
                <w:rFonts w:ascii="Arial" w:hAnsi="Arial" w:cs="Arial"/>
                <w:bCs/>
                <w:sz w:val="18"/>
                <w:szCs w:val="18"/>
              </w:rPr>
              <w:t>, or if transferred into an eligible position after December 31</w:t>
            </w:r>
            <w:r>
              <w:rPr>
                <w:rFonts w:ascii="Arial" w:hAnsi="Arial" w:cs="Arial"/>
                <w:bCs/>
                <w:sz w:val="18"/>
                <w:szCs w:val="18"/>
                <w:vertAlign w:val="superscript"/>
              </w:rPr>
              <w:t xml:space="preserve">st, </w:t>
            </w:r>
            <w:r>
              <w:rPr>
                <w:rFonts w:ascii="Arial" w:hAnsi="Arial" w:cs="Arial"/>
                <w:bCs/>
                <w:sz w:val="18"/>
                <w:szCs w:val="18"/>
              </w:rPr>
              <w:t>201</w:t>
            </w:r>
            <w:r w:rsidR="0070074D">
              <w:rPr>
                <w:rFonts w:ascii="Arial" w:hAnsi="Arial" w:cs="Arial"/>
                <w:bCs/>
                <w:sz w:val="18"/>
                <w:szCs w:val="18"/>
              </w:rPr>
              <w:t>5</w:t>
            </w:r>
            <w:r>
              <w:rPr>
                <w:rFonts w:ascii="Arial" w:hAnsi="Arial" w:cs="Arial"/>
                <w:bCs/>
                <w:sz w:val="18"/>
                <w:szCs w:val="18"/>
              </w:rPr>
              <w:t xml:space="preserve">.  </w:t>
            </w:r>
          </w:p>
        </w:tc>
        <w:tc>
          <w:tcPr>
            <w:tcW w:w="1283" w:type="dxa"/>
            <w:vAlign w:val="center"/>
          </w:tcPr>
          <w:p w:rsidR="00A20CB4" w:rsidRPr="0055513A" w:rsidRDefault="00A20CB4" w:rsidP="00A20CB4">
            <w:pPr>
              <w:jc w:val="center"/>
              <w:rPr>
                <w:rFonts w:ascii="Arial" w:hAnsi="Arial" w:cs="Arial"/>
                <w:sz w:val="21"/>
                <w:szCs w:val="21"/>
              </w:rPr>
            </w:pPr>
            <w:r w:rsidRPr="0055513A">
              <w:rPr>
                <w:rFonts w:ascii="Arial" w:hAnsi="Arial" w:cs="Arial"/>
                <w:sz w:val="21"/>
                <w:szCs w:val="21"/>
              </w:rPr>
              <w:t>1%</w:t>
            </w:r>
          </w:p>
        </w:tc>
        <w:tc>
          <w:tcPr>
            <w:tcW w:w="1973" w:type="dxa"/>
            <w:vAlign w:val="center"/>
          </w:tcPr>
          <w:p w:rsidR="00A20CB4" w:rsidRPr="0055513A" w:rsidRDefault="000124E1" w:rsidP="00A20CB4">
            <w:pPr>
              <w:jc w:val="center"/>
              <w:rPr>
                <w:rFonts w:ascii="Arial" w:hAnsi="Arial" w:cs="Arial"/>
                <w:b/>
                <w:sz w:val="21"/>
                <w:szCs w:val="21"/>
              </w:rPr>
            </w:pPr>
            <w:r>
              <w:rPr>
                <w:rFonts w:ascii="Arial" w:hAnsi="Arial" w:cs="Arial"/>
                <w:b/>
                <w:sz w:val="21"/>
                <w:szCs w:val="21"/>
              </w:rPr>
              <w:t>None</w:t>
            </w:r>
          </w:p>
        </w:tc>
      </w:tr>
    </w:tbl>
    <w:p w:rsidR="0055513A" w:rsidRDefault="0055513A" w:rsidP="00B367C0">
      <w:pPr>
        <w:rPr>
          <w:rFonts w:ascii="Arial" w:hAnsi="Arial" w:cs="Arial"/>
          <w:sz w:val="22"/>
          <w:szCs w:val="22"/>
        </w:rPr>
      </w:pPr>
    </w:p>
    <w:p w:rsidR="006F69A3" w:rsidRDefault="006F69A3" w:rsidP="006F69A3">
      <w:pPr>
        <w:ind w:left="360"/>
        <w:jc w:val="both"/>
        <w:rPr>
          <w:rFonts w:ascii="Arial" w:hAnsi="Arial" w:cs="Arial"/>
          <w:sz w:val="22"/>
          <w:szCs w:val="22"/>
        </w:rPr>
      </w:pPr>
    </w:p>
    <w:p w:rsidR="006F69A3" w:rsidRDefault="006F69A3" w:rsidP="006F69A3">
      <w:pPr>
        <w:rPr>
          <w:rFonts w:ascii="Arial" w:hAnsi="Arial" w:cs="Arial"/>
          <w:b/>
          <w:sz w:val="22"/>
          <w:szCs w:val="22"/>
        </w:rPr>
      </w:pPr>
    </w:p>
    <w:p w:rsidR="006F69A3" w:rsidRPr="00122567" w:rsidRDefault="006F69A3" w:rsidP="006F69A3">
      <w:pPr>
        <w:pStyle w:val="CM3"/>
        <w:numPr>
          <w:ilvl w:val="0"/>
          <w:numId w:val="10"/>
        </w:numPr>
        <w:jc w:val="both"/>
        <w:rPr>
          <w:rFonts w:cs="Arial"/>
          <w:color w:val="000000"/>
          <w:sz w:val="20"/>
          <w:szCs w:val="20"/>
        </w:rPr>
      </w:pPr>
      <w:r w:rsidRPr="00122567">
        <w:rPr>
          <w:rFonts w:cs="Arial"/>
          <w:color w:val="000000"/>
          <w:sz w:val="20"/>
          <w:szCs w:val="20"/>
        </w:rPr>
        <w:t>The reference period</w:t>
      </w:r>
      <w:r w:rsidR="00B367C0" w:rsidRPr="00122567">
        <w:rPr>
          <w:rFonts w:cs="Arial"/>
          <w:color w:val="000000"/>
          <w:sz w:val="20"/>
          <w:szCs w:val="20"/>
        </w:rPr>
        <w:t xml:space="preserve"> for </w:t>
      </w:r>
      <w:r w:rsidR="00B100F9" w:rsidRPr="00122567">
        <w:rPr>
          <w:rFonts w:cs="Arial"/>
          <w:color w:val="000000"/>
          <w:sz w:val="20"/>
          <w:szCs w:val="20"/>
        </w:rPr>
        <w:t xml:space="preserve">performance dialogue </w:t>
      </w:r>
      <w:r w:rsidRPr="00122567">
        <w:rPr>
          <w:rFonts w:cs="Arial"/>
          <w:color w:val="000000"/>
          <w:sz w:val="20"/>
          <w:szCs w:val="20"/>
        </w:rPr>
        <w:t xml:space="preserve">is from </w:t>
      </w:r>
      <w:r w:rsidR="00981365">
        <w:rPr>
          <w:rFonts w:cs="Arial"/>
          <w:color w:val="000000"/>
          <w:sz w:val="20"/>
          <w:szCs w:val="20"/>
        </w:rPr>
        <w:t>January 1</w:t>
      </w:r>
      <w:r w:rsidR="00642BB0">
        <w:rPr>
          <w:rFonts w:cs="Arial"/>
          <w:color w:val="000000"/>
          <w:sz w:val="20"/>
          <w:szCs w:val="20"/>
        </w:rPr>
        <w:t>, 20</w:t>
      </w:r>
      <w:r w:rsidR="00634B12">
        <w:rPr>
          <w:rFonts w:cs="Arial"/>
          <w:color w:val="000000"/>
          <w:sz w:val="20"/>
          <w:szCs w:val="20"/>
        </w:rPr>
        <w:t>1</w:t>
      </w:r>
      <w:r w:rsidR="0070074D">
        <w:rPr>
          <w:rFonts w:cs="Arial"/>
          <w:color w:val="000000"/>
          <w:sz w:val="20"/>
          <w:szCs w:val="20"/>
        </w:rPr>
        <w:t>5</w:t>
      </w:r>
      <w:r w:rsidR="00FE50A3">
        <w:rPr>
          <w:rFonts w:cs="Arial"/>
          <w:color w:val="000000"/>
          <w:sz w:val="20"/>
          <w:szCs w:val="20"/>
        </w:rPr>
        <w:t xml:space="preserve"> </w:t>
      </w:r>
      <w:r w:rsidRPr="00122567">
        <w:rPr>
          <w:rFonts w:cs="Arial"/>
          <w:color w:val="000000"/>
          <w:sz w:val="20"/>
          <w:szCs w:val="20"/>
        </w:rPr>
        <w:t xml:space="preserve">to </w:t>
      </w:r>
      <w:r w:rsidR="00642BB0">
        <w:rPr>
          <w:rFonts w:cs="Arial"/>
          <w:color w:val="000000"/>
          <w:sz w:val="20"/>
          <w:szCs w:val="20"/>
        </w:rPr>
        <w:t>December 31, 20</w:t>
      </w:r>
      <w:r w:rsidR="0055513A">
        <w:rPr>
          <w:rFonts w:cs="Arial"/>
          <w:color w:val="000000"/>
          <w:sz w:val="20"/>
          <w:szCs w:val="20"/>
        </w:rPr>
        <w:t>1</w:t>
      </w:r>
      <w:r w:rsidR="0070074D">
        <w:rPr>
          <w:rFonts w:cs="Arial"/>
          <w:color w:val="000000"/>
          <w:sz w:val="20"/>
          <w:szCs w:val="20"/>
        </w:rPr>
        <w:t>5</w:t>
      </w:r>
      <w:r w:rsidRPr="00122567">
        <w:rPr>
          <w:rFonts w:cs="Arial"/>
          <w:color w:val="000000"/>
          <w:sz w:val="20"/>
          <w:szCs w:val="20"/>
        </w:rPr>
        <w:t xml:space="preserve">. Employees must have been at work at least one (1) day during </w:t>
      </w:r>
      <w:r w:rsidR="005F64B6">
        <w:rPr>
          <w:rFonts w:cs="Arial"/>
          <w:color w:val="000000"/>
          <w:sz w:val="20"/>
          <w:szCs w:val="20"/>
        </w:rPr>
        <w:t xml:space="preserve">the </w:t>
      </w:r>
      <w:r w:rsidRPr="00122567">
        <w:rPr>
          <w:rFonts w:cs="Arial"/>
          <w:color w:val="000000"/>
          <w:sz w:val="20"/>
          <w:szCs w:val="20"/>
        </w:rPr>
        <w:t>reference period.</w:t>
      </w:r>
    </w:p>
    <w:p w:rsidR="006F69A3" w:rsidRPr="00122567" w:rsidRDefault="006F69A3" w:rsidP="006F69A3">
      <w:pPr>
        <w:pStyle w:val="Default"/>
        <w:ind w:left="720"/>
        <w:rPr>
          <w:sz w:val="20"/>
          <w:szCs w:val="20"/>
        </w:rPr>
      </w:pPr>
      <w:r w:rsidRPr="00122567">
        <w:rPr>
          <w:sz w:val="20"/>
          <w:szCs w:val="20"/>
        </w:rPr>
        <w:t xml:space="preserve"> </w:t>
      </w:r>
    </w:p>
    <w:p w:rsidR="0069668F" w:rsidRPr="00122567" w:rsidRDefault="0069668F" w:rsidP="0055513A">
      <w:pPr>
        <w:pStyle w:val="CM3"/>
        <w:numPr>
          <w:ilvl w:val="0"/>
          <w:numId w:val="10"/>
        </w:numPr>
        <w:jc w:val="both"/>
        <w:rPr>
          <w:sz w:val="20"/>
          <w:szCs w:val="20"/>
        </w:rPr>
      </w:pPr>
      <w:r w:rsidRPr="00122567">
        <w:rPr>
          <w:sz w:val="20"/>
          <w:szCs w:val="20"/>
        </w:rPr>
        <w:t xml:space="preserve"> </w:t>
      </w:r>
      <w:r w:rsidRPr="0055513A">
        <w:rPr>
          <w:rFonts w:cs="Arial"/>
          <w:color w:val="000000"/>
          <w:sz w:val="20"/>
          <w:szCs w:val="20"/>
        </w:rPr>
        <w:t>Performance</w:t>
      </w:r>
      <w:r w:rsidRPr="00122567">
        <w:rPr>
          <w:sz w:val="20"/>
          <w:szCs w:val="20"/>
        </w:rPr>
        <w:t xml:space="preserve"> </w:t>
      </w:r>
      <w:r w:rsidR="00B100F9" w:rsidRPr="00122567">
        <w:rPr>
          <w:sz w:val="20"/>
          <w:szCs w:val="20"/>
        </w:rPr>
        <w:t>dialogue</w:t>
      </w:r>
      <w:r w:rsidRPr="00122567">
        <w:rPr>
          <w:sz w:val="20"/>
          <w:szCs w:val="20"/>
        </w:rPr>
        <w:t xml:space="preserve"> must be completed for all employees for the period under review and must be documented.</w:t>
      </w:r>
    </w:p>
    <w:p w:rsidR="00912F8C" w:rsidRDefault="00912F8C" w:rsidP="00912F8C">
      <w:pPr>
        <w:pStyle w:val="Default"/>
      </w:pPr>
    </w:p>
    <w:p w:rsidR="00B367C0" w:rsidRPr="001E4544" w:rsidRDefault="00B312DB" w:rsidP="001E4544">
      <w:pPr>
        <w:pStyle w:val="Default"/>
      </w:pPr>
      <w:r>
        <w:t xml:space="preserve"> </w:t>
      </w:r>
    </w:p>
    <w:sectPr w:rsidR="00B367C0" w:rsidRPr="001E4544" w:rsidSect="003C68B0">
      <w:type w:val="continuous"/>
      <w:pgSz w:w="12240" w:h="15840"/>
      <w:pgMar w:top="720" w:right="720" w:bottom="720"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A3" w:rsidRDefault="00D06BA3" w:rsidP="002E7B9A">
      <w:r>
        <w:separator/>
      </w:r>
    </w:p>
  </w:endnote>
  <w:endnote w:type="continuationSeparator" w:id="0">
    <w:p w:rsidR="00D06BA3" w:rsidRDefault="00D06BA3" w:rsidP="002E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A3" w:rsidRDefault="00D06BA3" w:rsidP="002E7B9A">
      <w:r>
        <w:separator/>
      </w:r>
    </w:p>
  </w:footnote>
  <w:footnote w:type="continuationSeparator" w:id="0">
    <w:p w:rsidR="00D06BA3" w:rsidRDefault="00D06BA3" w:rsidP="002E7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3E6"/>
    <w:multiLevelType w:val="hybridMultilevel"/>
    <w:tmpl w:val="0409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864027"/>
    <w:multiLevelType w:val="hybridMultilevel"/>
    <w:tmpl w:val="8ED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F437"/>
    <w:multiLevelType w:val="hybridMultilevel"/>
    <w:tmpl w:val="535C29F5"/>
    <w:lvl w:ilvl="0" w:tplc="FFFFFFFF">
      <w:start w:val="1"/>
      <w:numFmt w:val="decimal"/>
      <w:suff w:val="nothing"/>
      <w:lvlText w:val=""/>
      <w:lvlJc w:val="left"/>
    </w:lvl>
    <w:lvl w:ilvl="1" w:tplc="FFFFFFFF">
      <w:start w:val="1"/>
      <w:numFmt w:val="decimal"/>
      <w:suff w:val="nothing"/>
      <w:lvlText w:val=""/>
      <w:lvlJc w:val="left"/>
    </w:lvl>
    <w:lvl w:ilvl="2" w:tplc="CB46E20B">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116972"/>
    <w:multiLevelType w:val="hybridMultilevel"/>
    <w:tmpl w:val="404ABE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5A71DA"/>
    <w:multiLevelType w:val="hybridMultilevel"/>
    <w:tmpl w:val="2B4EB1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C73A6"/>
    <w:multiLevelType w:val="hybridMultilevel"/>
    <w:tmpl w:val="E1D6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91190"/>
    <w:multiLevelType w:val="hybridMultilevel"/>
    <w:tmpl w:val="FAA889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0F0833"/>
    <w:multiLevelType w:val="multilevel"/>
    <w:tmpl w:val="BD46B46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720"/>
        </w:tabs>
        <w:ind w:left="720" w:hanging="720"/>
      </w:pPr>
      <w:rPr>
        <w:rFonts w:hint="default"/>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4BF532E5"/>
    <w:multiLevelType w:val="multilevel"/>
    <w:tmpl w:val="693A53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ascii="Arial" w:eastAsia="Times New Roman" w:hAnsi="Arial" w:cs="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160" w:hanging="360"/>
      </w:pPr>
      <w:rPr>
        <w:rFonts w:ascii="Arial" w:eastAsia="Times New Roman" w:hAnsi="Arial" w:cs="Arial"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CECA918"/>
    <w:multiLevelType w:val="hybridMultilevel"/>
    <w:tmpl w:val="1005E4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1276B49"/>
    <w:multiLevelType w:val="hybridMultilevel"/>
    <w:tmpl w:val="6A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00573"/>
    <w:multiLevelType w:val="hybridMultilevel"/>
    <w:tmpl w:val="5E3EFB8E"/>
    <w:lvl w:ilvl="0" w:tplc="22C4353C">
      <w:start w:val="1"/>
      <w:numFmt w:val="decimal"/>
      <w:lvlText w:val="%1)"/>
      <w:lvlJc w:val="left"/>
      <w:pPr>
        <w:ind w:left="540" w:hanging="360"/>
      </w:pPr>
      <w:rPr>
        <w:rFonts w:hint="default"/>
        <w:b w:val="0"/>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050774B"/>
    <w:multiLevelType w:val="multilevel"/>
    <w:tmpl w:val="FAF4155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ascii="Arial" w:eastAsia="Times New Roman" w:hAnsi="Arial" w:cs="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160" w:hanging="360"/>
      </w:pPr>
      <w:rPr>
        <w:rFonts w:ascii="Arial" w:eastAsia="Times New Roman" w:hAnsi="Arial" w:cs="Arial"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3FE1F56"/>
    <w:multiLevelType w:val="hybridMultilevel"/>
    <w:tmpl w:val="A4F4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A3F04"/>
    <w:multiLevelType w:val="hybridMultilevel"/>
    <w:tmpl w:val="660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7"/>
  </w:num>
  <w:num w:numId="7">
    <w:abstractNumId w:val="0"/>
  </w:num>
  <w:num w:numId="8">
    <w:abstractNumId w:val="14"/>
  </w:num>
  <w:num w:numId="9">
    <w:abstractNumId w:val="10"/>
  </w:num>
  <w:num w:numId="10">
    <w:abstractNumId w:val="5"/>
  </w:num>
  <w:num w:numId="11">
    <w:abstractNumId w:val="11"/>
  </w:num>
  <w:num w:numId="12">
    <w:abstractNumId w:val="13"/>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75"/>
    <w:rsid w:val="0000152D"/>
    <w:rsid w:val="000019F4"/>
    <w:rsid w:val="00011768"/>
    <w:rsid w:val="000124E1"/>
    <w:rsid w:val="00033AA2"/>
    <w:rsid w:val="00047DBE"/>
    <w:rsid w:val="00052DE3"/>
    <w:rsid w:val="000567F1"/>
    <w:rsid w:val="0006677A"/>
    <w:rsid w:val="00076BB5"/>
    <w:rsid w:val="000900ED"/>
    <w:rsid w:val="000906FC"/>
    <w:rsid w:val="00094DC7"/>
    <w:rsid w:val="000A4088"/>
    <w:rsid w:val="000A5C1D"/>
    <w:rsid w:val="000B4679"/>
    <w:rsid w:val="000D4AB3"/>
    <w:rsid w:val="000F07CC"/>
    <w:rsid w:val="000F6A6E"/>
    <w:rsid w:val="00102516"/>
    <w:rsid w:val="00102ACC"/>
    <w:rsid w:val="00122567"/>
    <w:rsid w:val="00135E77"/>
    <w:rsid w:val="0013773C"/>
    <w:rsid w:val="00154D8A"/>
    <w:rsid w:val="00155414"/>
    <w:rsid w:val="001647E0"/>
    <w:rsid w:val="00165D62"/>
    <w:rsid w:val="00170875"/>
    <w:rsid w:val="00176770"/>
    <w:rsid w:val="00185B53"/>
    <w:rsid w:val="001944CB"/>
    <w:rsid w:val="00197AC9"/>
    <w:rsid w:val="001A6A27"/>
    <w:rsid w:val="001C5B48"/>
    <w:rsid w:val="001D1626"/>
    <w:rsid w:val="001E0592"/>
    <w:rsid w:val="001E4544"/>
    <w:rsid w:val="001F0127"/>
    <w:rsid w:val="001F7200"/>
    <w:rsid w:val="00205223"/>
    <w:rsid w:val="00221644"/>
    <w:rsid w:val="00227946"/>
    <w:rsid w:val="00240859"/>
    <w:rsid w:val="00252AC3"/>
    <w:rsid w:val="002579C5"/>
    <w:rsid w:val="00257D18"/>
    <w:rsid w:val="00265CC6"/>
    <w:rsid w:val="00267BF1"/>
    <w:rsid w:val="00272E55"/>
    <w:rsid w:val="00273F0B"/>
    <w:rsid w:val="00273F24"/>
    <w:rsid w:val="00280E4B"/>
    <w:rsid w:val="00284121"/>
    <w:rsid w:val="0029727B"/>
    <w:rsid w:val="002B3FB8"/>
    <w:rsid w:val="002B7A97"/>
    <w:rsid w:val="002D256F"/>
    <w:rsid w:val="002D4559"/>
    <w:rsid w:val="002E3069"/>
    <w:rsid w:val="002E7B9A"/>
    <w:rsid w:val="002F1A16"/>
    <w:rsid w:val="00347E32"/>
    <w:rsid w:val="00350A46"/>
    <w:rsid w:val="00351C82"/>
    <w:rsid w:val="00352C72"/>
    <w:rsid w:val="003667ED"/>
    <w:rsid w:val="0039634C"/>
    <w:rsid w:val="003A3183"/>
    <w:rsid w:val="003B46BA"/>
    <w:rsid w:val="003C283C"/>
    <w:rsid w:val="003C68B0"/>
    <w:rsid w:val="004042F6"/>
    <w:rsid w:val="00407A0A"/>
    <w:rsid w:val="00413545"/>
    <w:rsid w:val="00413B86"/>
    <w:rsid w:val="004212F4"/>
    <w:rsid w:val="00424977"/>
    <w:rsid w:val="004357D4"/>
    <w:rsid w:val="004366F6"/>
    <w:rsid w:val="004462F1"/>
    <w:rsid w:val="00446D8E"/>
    <w:rsid w:val="00447062"/>
    <w:rsid w:val="00467716"/>
    <w:rsid w:val="00483807"/>
    <w:rsid w:val="00491202"/>
    <w:rsid w:val="004946E2"/>
    <w:rsid w:val="004B3FEF"/>
    <w:rsid w:val="004B6B0D"/>
    <w:rsid w:val="004C14E6"/>
    <w:rsid w:val="004C4474"/>
    <w:rsid w:val="004C62A7"/>
    <w:rsid w:val="004D0070"/>
    <w:rsid w:val="004F3254"/>
    <w:rsid w:val="004F5764"/>
    <w:rsid w:val="004F57AB"/>
    <w:rsid w:val="005127A8"/>
    <w:rsid w:val="0051467C"/>
    <w:rsid w:val="00516829"/>
    <w:rsid w:val="00540B41"/>
    <w:rsid w:val="00546622"/>
    <w:rsid w:val="00547040"/>
    <w:rsid w:val="00553747"/>
    <w:rsid w:val="0055513A"/>
    <w:rsid w:val="0058032D"/>
    <w:rsid w:val="0059356F"/>
    <w:rsid w:val="005B7488"/>
    <w:rsid w:val="005C24ED"/>
    <w:rsid w:val="005D537C"/>
    <w:rsid w:val="005F64B6"/>
    <w:rsid w:val="006018DA"/>
    <w:rsid w:val="006044C3"/>
    <w:rsid w:val="00634B12"/>
    <w:rsid w:val="006414A5"/>
    <w:rsid w:val="00642BB0"/>
    <w:rsid w:val="00643362"/>
    <w:rsid w:val="006506F5"/>
    <w:rsid w:val="006530E3"/>
    <w:rsid w:val="00655AB3"/>
    <w:rsid w:val="006701E8"/>
    <w:rsid w:val="006758C9"/>
    <w:rsid w:val="00684216"/>
    <w:rsid w:val="0069668F"/>
    <w:rsid w:val="006A0C37"/>
    <w:rsid w:val="006A1E42"/>
    <w:rsid w:val="006B51EC"/>
    <w:rsid w:val="006E16CD"/>
    <w:rsid w:val="006F69A3"/>
    <w:rsid w:val="0070074D"/>
    <w:rsid w:val="007021EC"/>
    <w:rsid w:val="007114D0"/>
    <w:rsid w:val="00716EE6"/>
    <w:rsid w:val="00742C7C"/>
    <w:rsid w:val="007460FD"/>
    <w:rsid w:val="00762F1D"/>
    <w:rsid w:val="00770526"/>
    <w:rsid w:val="00784710"/>
    <w:rsid w:val="007B2091"/>
    <w:rsid w:val="007C431F"/>
    <w:rsid w:val="007C6F06"/>
    <w:rsid w:val="007D5CD2"/>
    <w:rsid w:val="007D7B9A"/>
    <w:rsid w:val="007F42FA"/>
    <w:rsid w:val="00804842"/>
    <w:rsid w:val="008102E7"/>
    <w:rsid w:val="00811E06"/>
    <w:rsid w:val="00813DCF"/>
    <w:rsid w:val="00820904"/>
    <w:rsid w:val="008248FD"/>
    <w:rsid w:val="0084025A"/>
    <w:rsid w:val="008454D0"/>
    <w:rsid w:val="00862724"/>
    <w:rsid w:val="00876AB0"/>
    <w:rsid w:val="00882637"/>
    <w:rsid w:val="008918D7"/>
    <w:rsid w:val="008A4EB1"/>
    <w:rsid w:val="008D086C"/>
    <w:rsid w:val="008E3880"/>
    <w:rsid w:val="008E4243"/>
    <w:rsid w:val="008E7821"/>
    <w:rsid w:val="00905FF7"/>
    <w:rsid w:val="00907F2A"/>
    <w:rsid w:val="0091047A"/>
    <w:rsid w:val="00912F8C"/>
    <w:rsid w:val="00913AB3"/>
    <w:rsid w:val="00915FE0"/>
    <w:rsid w:val="009168D3"/>
    <w:rsid w:val="00916EA1"/>
    <w:rsid w:val="00930BBF"/>
    <w:rsid w:val="009333A1"/>
    <w:rsid w:val="00942C38"/>
    <w:rsid w:val="00950020"/>
    <w:rsid w:val="00952932"/>
    <w:rsid w:val="00954E38"/>
    <w:rsid w:val="0096413D"/>
    <w:rsid w:val="00971D42"/>
    <w:rsid w:val="00981365"/>
    <w:rsid w:val="00981447"/>
    <w:rsid w:val="00986E74"/>
    <w:rsid w:val="00997B3F"/>
    <w:rsid w:val="009A0581"/>
    <w:rsid w:val="009A646B"/>
    <w:rsid w:val="009C7D8C"/>
    <w:rsid w:val="009E4D97"/>
    <w:rsid w:val="009E7EA1"/>
    <w:rsid w:val="00A0289A"/>
    <w:rsid w:val="00A20CB4"/>
    <w:rsid w:val="00A25328"/>
    <w:rsid w:val="00A30A66"/>
    <w:rsid w:val="00A35EEF"/>
    <w:rsid w:val="00A42145"/>
    <w:rsid w:val="00A733E5"/>
    <w:rsid w:val="00A955A7"/>
    <w:rsid w:val="00A96970"/>
    <w:rsid w:val="00AA2340"/>
    <w:rsid w:val="00AA31C1"/>
    <w:rsid w:val="00AC3246"/>
    <w:rsid w:val="00AE3859"/>
    <w:rsid w:val="00AF115C"/>
    <w:rsid w:val="00AF24F9"/>
    <w:rsid w:val="00B100F9"/>
    <w:rsid w:val="00B312DB"/>
    <w:rsid w:val="00B367C0"/>
    <w:rsid w:val="00B5083F"/>
    <w:rsid w:val="00B55C7E"/>
    <w:rsid w:val="00B608AD"/>
    <w:rsid w:val="00B61B74"/>
    <w:rsid w:val="00B723CD"/>
    <w:rsid w:val="00B80664"/>
    <w:rsid w:val="00B82F8E"/>
    <w:rsid w:val="00B86C72"/>
    <w:rsid w:val="00B900BF"/>
    <w:rsid w:val="00B927F3"/>
    <w:rsid w:val="00B9389A"/>
    <w:rsid w:val="00B94837"/>
    <w:rsid w:val="00B97888"/>
    <w:rsid w:val="00BA332F"/>
    <w:rsid w:val="00BA786A"/>
    <w:rsid w:val="00BA7D35"/>
    <w:rsid w:val="00BB09A0"/>
    <w:rsid w:val="00BB4376"/>
    <w:rsid w:val="00BC1F06"/>
    <w:rsid w:val="00BC4CB9"/>
    <w:rsid w:val="00BC5F58"/>
    <w:rsid w:val="00BD6977"/>
    <w:rsid w:val="00BE01B4"/>
    <w:rsid w:val="00C1224C"/>
    <w:rsid w:val="00C24C93"/>
    <w:rsid w:val="00C273A0"/>
    <w:rsid w:val="00C30806"/>
    <w:rsid w:val="00C34482"/>
    <w:rsid w:val="00C34E2A"/>
    <w:rsid w:val="00C374A8"/>
    <w:rsid w:val="00C401F2"/>
    <w:rsid w:val="00C458D3"/>
    <w:rsid w:val="00C47234"/>
    <w:rsid w:val="00C81E6C"/>
    <w:rsid w:val="00C953E6"/>
    <w:rsid w:val="00CB13C9"/>
    <w:rsid w:val="00CB1B38"/>
    <w:rsid w:val="00CB51FE"/>
    <w:rsid w:val="00CF5D47"/>
    <w:rsid w:val="00CF7233"/>
    <w:rsid w:val="00D06BA3"/>
    <w:rsid w:val="00D130F9"/>
    <w:rsid w:val="00D35B52"/>
    <w:rsid w:val="00D51F4B"/>
    <w:rsid w:val="00D8437F"/>
    <w:rsid w:val="00D85128"/>
    <w:rsid w:val="00D863BC"/>
    <w:rsid w:val="00D93B10"/>
    <w:rsid w:val="00D97AE9"/>
    <w:rsid w:val="00DB3F7F"/>
    <w:rsid w:val="00DB453C"/>
    <w:rsid w:val="00DF2942"/>
    <w:rsid w:val="00E100AC"/>
    <w:rsid w:val="00E26165"/>
    <w:rsid w:val="00E30496"/>
    <w:rsid w:val="00E40BD4"/>
    <w:rsid w:val="00E57752"/>
    <w:rsid w:val="00E65071"/>
    <w:rsid w:val="00E835F4"/>
    <w:rsid w:val="00E859AF"/>
    <w:rsid w:val="00E91C5A"/>
    <w:rsid w:val="00EA1213"/>
    <w:rsid w:val="00EB4348"/>
    <w:rsid w:val="00EC574F"/>
    <w:rsid w:val="00ED1039"/>
    <w:rsid w:val="00ED2FF0"/>
    <w:rsid w:val="00ED6CB9"/>
    <w:rsid w:val="00EE240A"/>
    <w:rsid w:val="00EE5B38"/>
    <w:rsid w:val="00EE7E66"/>
    <w:rsid w:val="00EF67C2"/>
    <w:rsid w:val="00F202B8"/>
    <w:rsid w:val="00F51EC4"/>
    <w:rsid w:val="00F61124"/>
    <w:rsid w:val="00F65E62"/>
    <w:rsid w:val="00F7227B"/>
    <w:rsid w:val="00F7589D"/>
    <w:rsid w:val="00F80511"/>
    <w:rsid w:val="00FA1F84"/>
    <w:rsid w:val="00FA2C74"/>
    <w:rsid w:val="00FB0407"/>
    <w:rsid w:val="00FB5F95"/>
    <w:rsid w:val="00FC437A"/>
    <w:rsid w:val="00FD3ED9"/>
    <w:rsid w:val="00FE2395"/>
    <w:rsid w:val="00FE5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5:chartTrackingRefBased/>
  <w15:docId w15:val="{08EC3669-2ABE-4CF1-9E8F-A7754D9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F1"/>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67F1"/>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rsid w:val="000567F1"/>
    <w:rPr>
      <w:rFonts w:cs="Times New Roman"/>
      <w:color w:val="auto"/>
    </w:rPr>
  </w:style>
  <w:style w:type="paragraph" w:customStyle="1" w:styleId="CM6">
    <w:name w:val="CM6"/>
    <w:basedOn w:val="Default"/>
    <w:next w:val="Default"/>
    <w:rsid w:val="000567F1"/>
    <w:pPr>
      <w:spacing w:after="455"/>
    </w:pPr>
    <w:rPr>
      <w:rFonts w:cs="Times New Roman"/>
      <w:color w:val="auto"/>
    </w:rPr>
  </w:style>
  <w:style w:type="paragraph" w:customStyle="1" w:styleId="CM2">
    <w:name w:val="CM2"/>
    <w:basedOn w:val="Default"/>
    <w:next w:val="Default"/>
    <w:rsid w:val="000567F1"/>
    <w:rPr>
      <w:rFonts w:cs="Times New Roman"/>
      <w:color w:val="auto"/>
    </w:rPr>
  </w:style>
  <w:style w:type="paragraph" w:customStyle="1" w:styleId="CM7">
    <w:name w:val="CM7"/>
    <w:basedOn w:val="Default"/>
    <w:next w:val="Default"/>
    <w:rsid w:val="000567F1"/>
    <w:pPr>
      <w:spacing w:after="233"/>
    </w:pPr>
    <w:rPr>
      <w:rFonts w:cs="Times New Roman"/>
      <w:color w:val="auto"/>
    </w:rPr>
  </w:style>
  <w:style w:type="paragraph" w:customStyle="1" w:styleId="CM3">
    <w:name w:val="CM3"/>
    <w:basedOn w:val="Default"/>
    <w:next w:val="Default"/>
    <w:rsid w:val="000567F1"/>
    <w:pPr>
      <w:spacing w:line="231" w:lineRule="atLeast"/>
    </w:pPr>
    <w:rPr>
      <w:rFonts w:cs="Times New Roman"/>
      <w:color w:val="auto"/>
    </w:rPr>
  </w:style>
  <w:style w:type="paragraph" w:customStyle="1" w:styleId="CM5">
    <w:name w:val="CM5"/>
    <w:basedOn w:val="Default"/>
    <w:next w:val="Default"/>
    <w:rsid w:val="000567F1"/>
    <w:pPr>
      <w:spacing w:line="231" w:lineRule="atLeast"/>
    </w:pPr>
    <w:rPr>
      <w:rFonts w:cs="Times New Roman"/>
      <w:color w:val="auto"/>
    </w:rPr>
  </w:style>
  <w:style w:type="table" w:styleId="Grilledutableau">
    <w:name w:val="Table Grid"/>
    <w:basedOn w:val="TableauNormal"/>
    <w:rsid w:val="0064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8D086C"/>
    <w:pPr>
      <w:shd w:val="clear" w:color="auto" w:fill="000080"/>
    </w:pPr>
    <w:rPr>
      <w:rFonts w:ascii="Tahoma" w:hAnsi="Tahoma" w:cs="Tahoma"/>
      <w:sz w:val="20"/>
      <w:szCs w:val="20"/>
    </w:rPr>
  </w:style>
  <w:style w:type="paragraph" w:styleId="Textedebulles">
    <w:name w:val="Balloon Text"/>
    <w:basedOn w:val="Normal"/>
    <w:link w:val="TextedebullesCar"/>
    <w:uiPriority w:val="99"/>
    <w:semiHidden/>
    <w:unhideWhenUsed/>
    <w:rsid w:val="0096413D"/>
    <w:rPr>
      <w:rFonts w:ascii="Tahoma" w:hAnsi="Tahoma" w:cs="Tahoma"/>
      <w:sz w:val="16"/>
      <w:szCs w:val="16"/>
    </w:rPr>
  </w:style>
  <w:style w:type="character" w:customStyle="1" w:styleId="TextedebullesCar">
    <w:name w:val="Texte de bulles Car"/>
    <w:link w:val="Textedebulles"/>
    <w:uiPriority w:val="99"/>
    <w:semiHidden/>
    <w:rsid w:val="0096413D"/>
    <w:rPr>
      <w:rFonts w:ascii="Tahoma" w:hAnsi="Tahoma" w:cs="Tahoma"/>
      <w:sz w:val="16"/>
      <w:szCs w:val="16"/>
    </w:rPr>
  </w:style>
  <w:style w:type="paragraph" w:styleId="Paragraphedeliste">
    <w:name w:val="List Paragraph"/>
    <w:basedOn w:val="Normal"/>
    <w:uiPriority w:val="34"/>
    <w:qFormat/>
    <w:rsid w:val="00811E06"/>
    <w:pPr>
      <w:ind w:left="720"/>
      <w:contextualSpacing/>
    </w:pPr>
  </w:style>
  <w:style w:type="paragraph" w:styleId="En-tte">
    <w:name w:val="header"/>
    <w:basedOn w:val="Normal"/>
    <w:link w:val="En-tteCar"/>
    <w:uiPriority w:val="99"/>
    <w:semiHidden/>
    <w:unhideWhenUsed/>
    <w:rsid w:val="002E7B9A"/>
    <w:pPr>
      <w:tabs>
        <w:tab w:val="center" w:pos="4680"/>
        <w:tab w:val="right" w:pos="9360"/>
      </w:tabs>
    </w:pPr>
  </w:style>
  <w:style w:type="character" w:customStyle="1" w:styleId="En-tteCar">
    <w:name w:val="En-tête Car"/>
    <w:link w:val="En-tte"/>
    <w:uiPriority w:val="99"/>
    <w:semiHidden/>
    <w:rsid w:val="002E7B9A"/>
    <w:rPr>
      <w:sz w:val="24"/>
      <w:szCs w:val="24"/>
    </w:rPr>
  </w:style>
  <w:style w:type="paragraph" w:styleId="Pieddepage">
    <w:name w:val="footer"/>
    <w:basedOn w:val="Normal"/>
    <w:link w:val="PieddepageCar"/>
    <w:uiPriority w:val="99"/>
    <w:semiHidden/>
    <w:unhideWhenUsed/>
    <w:rsid w:val="002E7B9A"/>
    <w:pPr>
      <w:tabs>
        <w:tab w:val="center" w:pos="4680"/>
        <w:tab w:val="right" w:pos="9360"/>
      </w:tabs>
    </w:pPr>
  </w:style>
  <w:style w:type="character" w:customStyle="1" w:styleId="PieddepageCar">
    <w:name w:val="Pied de page Car"/>
    <w:link w:val="Pieddepage"/>
    <w:uiPriority w:val="99"/>
    <w:semiHidden/>
    <w:rsid w:val="002E7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632028">
      <w:bodyDiv w:val="1"/>
      <w:marLeft w:val="0"/>
      <w:marRight w:val="0"/>
      <w:marTop w:val="0"/>
      <w:marBottom w:val="0"/>
      <w:divBdr>
        <w:top w:val="none" w:sz="0" w:space="0" w:color="auto"/>
        <w:left w:val="none" w:sz="0" w:space="0" w:color="auto"/>
        <w:bottom w:val="none" w:sz="0" w:space="0" w:color="auto"/>
        <w:right w:val="none" w:sz="0" w:space="0" w:color="auto"/>
      </w:divBdr>
    </w:div>
    <w:div w:id="1745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CFDF-3BB9-4321-876E-F8E3B197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HR NotesSalary Policies-October 2004.doc</vt:lpstr>
      <vt:lpstr>Microsoft Word - HR NotesSalary Policies-October 2004.doc</vt:lpstr>
    </vt:vector>
  </TitlesOfParts>
  <Company>McGill University</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HR NotesSalary Policies-October 2004.doc</dc:title>
  <dc:subject/>
  <dc:creator>helenef</dc:creator>
  <cp:keywords/>
  <cp:lastModifiedBy>Alice Kieran, Ms.</cp:lastModifiedBy>
  <cp:revision>7</cp:revision>
  <cp:lastPrinted>2016-02-09T14:46:00Z</cp:lastPrinted>
  <dcterms:created xsi:type="dcterms:W3CDTF">2016-01-11T14:09:00Z</dcterms:created>
  <dcterms:modified xsi:type="dcterms:W3CDTF">2016-02-11T13:41:00Z</dcterms:modified>
</cp:coreProperties>
</file>