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8C7D" w14:textId="112ADB78" w:rsidR="0095655F" w:rsidRPr="00AE0F6D" w:rsidRDefault="002E6A20" w:rsidP="00CA29BC">
      <w:pPr>
        <w:tabs>
          <w:tab w:val="left" w:pos="8011"/>
        </w:tabs>
        <w:spacing w:before="360" w:after="0" w:line="240" w:lineRule="auto"/>
        <w:jc w:val="center"/>
        <w:rPr>
          <w:b/>
          <w:sz w:val="28"/>
          <w:szCs w:val="28"/>
          <w:lang w:val="en-US"/>
        </w:rPr>
      </w:pPr>
      <w:r>
        <w:rPr>
          <w:b/>
          <w:sz w:val="28"/>
          <w:szCs w:val="28"/>
          <w:lang w:val="en-US"/>
        </w:rPr>
        <w:t>The Social Costs of Innovation: Law, Society, and the Greater Good</w:t>
      </w:r>
    </w:p>
    <w:p w14:paraId="5EC87F69" w14:textId="7F7B8D12" w:rsidR="00BC72A6" w:rsidRPr="00AE0F6D" w:rsidRDefault="002E6A20" w:rsidP="000E2D2B">
      <w:pPr>
        <w:spacing w:after="60" w:line="240" w:lineRule="auto"/>
        <w:jc w:val="center"/>
        <w:rPr>
          <w:b/>
          <w:color w:val="1F497D"/>
          <w:sz w:val="28"/>
          <w:szCs w:val="28"/>
          <w:lang w:val="fr-CA"/>
        </w:rPr>
      </w:pPr>
      <w:r>
        <w:rPr>
          <w:b/>
          <w:color w:val="1F497D"/>
          <w:sz w:val="28"/>
          <w:szCs w:val="28"/>
          <w:lang w:val="fr-CA"/>
        </w:rPr>
        <w:t>Les coûts sociaux de l’innovation : droit, société et le bien commun</w:t>
      </w:r>
    </w:p>
    <w:p w14:paraId="4CCCBD7B" w14:textId="77777777" w:rsidR="00CD566D" w:rsidRPr="00AE0F6D" w:rsidRDefault="00CD566D" w:rsidP="00110FF4">
      <w:pPr>
        <w:pBdr>
          <w:bottom w:val="single" w:sz="12" w:space="1" w:color="auto"/>
        </w:pBdr>
        <w:spacing w:after="0" w:line="240" w:lineRule="auto"/>
        <w:rPr>
          <w:sz w:val="8"/>
          <w:szCs w:val="8"/>
          <w:lang w:val="fr-CA"/>
        </w:rPr>
      </w:pPr>
    </w:p>
    <w:p w14:paraId="0FA8A82D" w14:textId="0B61CC4E" w:rsidR="0095655F" w:rsidRPr="00AE0F6D" w:rsidRDefault="00C416B5" w:rsidP="00CA29BC">
      <w:pPr>
        <w:spacing w:before="240" w:after="40" w:line="240" w:lineRule="auto"/>
        <w:rPr>
          <w:b/>
          <w:szCs w:val="21"/>
          <w:lang w:val="en-US"/>
        </w:rPr>
      </w:pPr>
      <w:r w:rsidRPr="00AE0F6D">
        <w:rPr>
          <w:b/>
          <w:szCs w:val="21"/>
          <w:lang w:val="en-US"/>
        </w:rPr>
        <w:t>Date:</w:t>
      </w:r>
      <w:r w:rsidRPr="00AE0F6D">
        <w:rPr>
          <w:b/>
          <w:szCs w:val="21"/>
          <w:lang w:val="en-US"/>
        </w:rPr>
        <w:tab/>
      </w:r>
      <w:r w:rsidRPr="00AE0F6D">
        <w:rPr>
          <w:b/>
          <w:szCs w:val="21"/>
          <w:lang w:val="en-US"/>
        </w:rPr>
        <w:tab/>
      </w:r>
      <w:r w:rsidR="00820401">
        <w:rPr>
          <w:b/>
          <w:szCs w:val="21"/>
          <w:lang w:val="en-US"/>
        </w:rPr>
        <w:t>2</w:t>
      </w:r>
      <w:r w:rsidR="000F340E" w:rsidRPr="00AE0F6D">
        <w:rPr>
          <w:b/>
          <w:szCs w:val="21"/>
          <w:lang w:val="en-US"/>
        </w:rPr>
        <w:t xml:space="preserve"> </w:t>
      </w:r>
      <w:r w:rsidR="00820401">
        <w:rPr>
          <w:b/>
          <w:szCs w:val="21"/>
          <w:lang w:val="en-US"/>
        </w:rPr>
        <w:t>November</w:t>
      </w:r>
      <w:r w:rsidR="0095655F" w:rsidRPr="00AE0F6D">
        <w:rPr>
          <w:b/>
          <w:szCs w:val="21"/>
          <w:lang w:val="en-US"/>
        </w:rPr>
        <w:t xml:space="preserve"> 2</w:t>
      </w:r>
      <w:r w:rsidR="000F340E" w:rsidRPr="00AE0F6D">
        <w:rPr>
          <w:b/>
          <w:szCs w:val="21"/>
          <w:lang w:val="en-US"/>
        </w:rPr>
        <w:t>016</w:t>
      </w:r>
    </w:p>
    <w:p w14:paraId="544884B0" w14:textId="0117391C" w:rsidR="0095655F" w:rsidRPr="00AE0F6D" w:rsidRDefault="00C416B5" w:rsidP="009717D7">
      <w:pPr>
        <w:spacing w:after="40" w:line="240" w:lineRule="auto"/>
        <w:rPr>
          <w:szCs w:val="21"/>
          <w:lang w:val="en-US"/>
        </w:rPr>
      </w:pPr>
      <w:r w:rsidRPr="00AE0F6D">
        <w:rPr>
          <w:szCs w:val="21"/>
          <w:lang w:val="en-US"/>
        </w:rPr>
        <w:t>Time:</w:t>
      </w:r>
      <w:r w:rsidRPr="00AE0F6D">
        <w:rPr>
          <w:szCs w:val="21"/>
          <w:lang w:val="en-US"/>
        </w:rPr>
        <w:tab/>
      </w:r>
      <w:r w:rsidRPr="00AE0F6D">
        <w:rPr>
          <w:szCs w:val="21"/>
          <w:lang w:val="en-US"/>
        </w:rPr>
        <w:tab/>
      </w:r>
      <w:r w:rsidR="009B5E86">
        <w:rPr>
          <w:szCs w:val="21"/>
          <w:lang w:val="en-US"/>
        </w:rPr>
        <w:t>1</w:t>
      </w:r>
      <w:r w:rsidR="0095655F" w:rsidRPr="00AE0F6D">
        <w:rPr>
          <w:szCs w:val="21"/>
          <w:lang w:val="en-US"/>
        </w:rPr>
        <w:t>:</w:t>
      </w:r>
      <w:r w:rsidR="009B5E86">
        <w:rPr>
          <w:szCs w:val="21"/>
          <w:lang w:val="en-US"/>
        </w:rPr>
        <w:t>30</w:t>
      </w:r>
      <w:r w:rsidR="00367276">
        <w:rPr>
          <w:szCs w:val="21"/>
          <w:lang w:val="en-US"/>
        </w:rPr>
        <w:t>-</w:t>
      </w:r>
      <w:r w:rsidR="003C5590">
        <w:rPr>
          <w:szCs w:val="21"/>
          <w:lang w:val="en-US"/>
        </w:rPr>
        <w:t>5</w:t>
      </w:r>
      <w:r w:rsidR="0095655F" w:rsidRPr="00AE0F6D">
        <w:rPr>
          <w:szCs w:val="21"/>
          <w:lang w:val="en-US"/>
        </w:rPr>
        <w:t>:</w:t>
      </w:r>
      <w:r w:rsidR="003C5590">
        <w:rPr>
          <w:szCs w:val="21"/>
          <w:lang w:val="en-US"/>
        </w:rPr>
        <w:t>3</w:t>
      </w:r>
      <w:r w:rsidR="00127347" w:rsidRPr="00AE0F6D">
        <w:rPr>
          <w:szCs w:val="21"/>
          <w:lang w:val="en-US"/>
        </w:rPr>
        <w:t>0</w:t>
      </w:r>
      <w:r w:rsidR="00FF2379">
        <w:rPr>
          <w:szCs w:val="21"/>
          <w:lang w:val="en-US"/>
        </w:rPr>
        <w:t xml:space="preserve"> pm</w:t>
      </w:r>
      <w:r w:rsidR="00C5724E">
        <w:rPr>
          <w:szCs w:val="21"/>
          <w:lang w:val="en-US"/>
        </w:rPr>
        <w:t xml:space="preserve"> </w:t>
      </w:r>
      <w:r w:rsidR="009A114B">
        <w:rPr>
          <w:szCs w:val="21"/>
          <w:lang w:val="en-US"/>
        </w:rPr>
        <w:t>(</w:t>
      </w:r>
      <w:r w:rsidR="009717D7">
        <w:rPr>
          <w:szCs w:val="21"/>
          <w:lang w:val="en-US"/>
        </w:rPr>
        <w:t xml:space="preserve">followed by a </w:t>
      </w:r>
      <w:r w:rsidR="00F410BD">
        <w:rPr>
          <w:szCs w:val="21"/>
          <w:lang w:val="en-US"/>
        </w:rPr>
        <w:t>cocktail offered by Fasken Martineau</w:t>
      </w:r>
      <w:r w:rsidR="009A114B">
        <w:rPr>
          <w:szCs w:val="21"/>
          <w:lang w:val="en-US"/>
        </w:rPr>
        <w:t>)</w:t>
      </w:r>
    </w:p>
    <w:p w14:paraId="681E1227" w14:textId="273B9C7B" w:rsidR="009717D7" w:rsidRDefault="009717D7" w:rsidP="009717D7">
      <w:pPr>
        <w:spacing w:after="40" w:line="240" w:lineRule="auto"/>
        <w:rPr>
          <w:szCs w:val="21"/>
          <w:lang w:val="en-US"/>
        </w:rPr>
      </w:pPr>
      <w:r>
        <w:rPr>
          <w:szCs w:val="21"/>
          <w:lang w:val="en-US"/>
        </w:rPr>
        <w:t>Cost:</w:t>
      </w:r>
      <w:r>
        <w:rPr>
          <w:szCs w:val="21"/>
          <w:lang w:val="en-US"/>
        </w:rPr>
        <w:tab/>
      </w:r>
      <w:r>
        <w:rPr>
          <w:szCs w:val="21"/>
          <w:lang w:val="en-US"/>
        </w:rPr>
        <w:tab/>
        <w:t>Free (general public) / $50 (cash or cheque, members of the Quebec Bar seeking CLE credit)</w:t>
      </w:r>
    </w:p>
    <w:p w14:paraId="7D173292" w14:textId="77777777" w:rsidR="00CB2D8B" w:rsidRPr="00AE0F6D" w:rsidRDefault="00C416B5" w:rsidP="009717D7">
      <w:pPr>
        <w:spacing w:after="40" w:line="240" w:lineRule="auto"/>
        <w:rPr>
          <w:szCs w:val="21"/>
          <w:lang w:val="en-US"/>
        </w:rPr>
      </w:pPr>
      <w:r w:rsidRPr="00AE0F6D">
        <w:rPr>
          <w:szCs w:val="21"/>
          <w:lang w:val="en-US"/>
        </w:rPr>
        <w:t>Address:</w:t>
      </w:r>
      <w:r w:rsidRPr="00AE0F6D">
        <w:rPr>
          <w:szCs w:val="21"/>
          <w:lang w:val="en-US"/>
        </w:rPr>
        <w:tab/>
      </w:r>
      <w:r w:rsidR="00B86F93" w:rsidRPr="00AE0F6D">
        <w:rPr>
          <w:szCs w:val="21"/>
          <w:lang w:val="en-US"/>
        </w:rPr>
        <w:t xml:space="preserve">CEIM, 20 Queen Street, </w:t>
      </w:r>
      <w:r w:rsidRPr="00AE0F6D">
        <w:rPr>
          <w:szCs w:val="21"/>
          <w:lang w:val="en-US"/>
        </w:rPr>
        <w:t xml:space="preserve">Montreal, </w:t>
      </w:r>
      <w:r w:rsidR="00B86F93" w:rsidRPr="00AE0F6D">
        <w:rPr>
          <w:szCs w:val="21"/>
          <w:lang w:val="en-US"/>
        </w:rPr>
        <w:t>3</w:t>
      </w:r>
      <w:r w:rsidR="00B86F93" w:rsidRPr="00AE0F6D">
        <w:rPr>
          <w:szCs w:val="21"/>
          <w:vertAlign w:val="superscript"/>
          <w:lang w:val="en-US"/>
        </w:rPr>
        <w:t>rd</w:t>
      </w:r>
      <w:r w:rsidR="00B86F93" w:rsidRPr="00AE0F6D">
        <w:rPr>
          <w:szCs w:val="21"/>
          <w:lang w:val="en-US"/>
        </w:rPr>
        <w:t xml:space="preserve"> floor</w:t>
      </w:r>
      <w:r w:rsidRPr="00AE0F6D">
        <w:rPr>
          <w:szCs w:val="21"/>
          <w:lang w:val="en-US"/>
        </w:rPr>
        <w:t xml:space="preserve"> (south of Wellington)</w:t>
      </w:r>
    </w:p>
    <w:p w14:paraId="7DFBF4AF" w14:textId="33238B03" w:rsidR="00143BCC" w:rsidRPr="00AE0F6D" w:rsidRDefault="00C416B5" w:rsidP="009717D7">
      <w:pPr>
        <w:spacing w:after="40" w:line="240" w:lineRule="auto"/>
        <w:rPr>
          <w:szCs w:val="21"/>
          <w:lang w:val="en-US"/>
        </w:rPr>
      </w:pPr>
      <w:r w:rsidRPr="00AE0F6D">
        <w:rPr>
          <w:szCs w:val="21"/>
          <w:lang w:val="en-US"/>
        </w:rPr>
        <w:t>Location:</w:t>
      </w:r>
      <w:r w:rsidRPr="00AE0F6D">
        <w:rPr>
          <w:szCs w:val="21"/>
          <w:lang w:val="en-US"/>
        </w:rPr>
        <w:tab/>
      </w:r>
      <w:r w:rsidR="00143BCC" w:rsidRPr="00AE0F6D">
        <w:rPr>
          <w:szCs w:val="21"/>
          <w:lang w:val="en-US"/>
        </w:rPr>
        <w:t xml:space="preserve">Quartier de </w:t>
      </w:r>
      <w:proofErr w:type="spellStart"/>
      <w:r w:rsidR="00143BCC" w:rsidRPr="00AE0F6D">
        <w:rPr>
          <w:szCs w:val="21"/>
          <w:lang w:val="en-US"/>
        </w:rPr>
        <w:t>l’Innovation</w:t>
      </w:r>
      <w:proofErr w:type="spellEnd"/>
      <w:r w:rsidR="00143BCC" w:rsidRPr="00AE0F6D">
        <w:rPr>
          <w:szCs w:val="21"/>
          <w:lang w:val="en-US"/>
        </w:rPr>
        <w:t xml:space="preserve">, </w:t>
      </w:r>
      <w:proofErr w:type="spellStart"/>
      <w:r w:rsidR="00143BCC" w:rsidRPr="00AE0F6D">
        <w:rPr>
          <w:szCs w:val="21"/>
          <w:lang w:val="en-US"/>
        </w:rPr>
        <w:t>Griffintown</w:t>
      </w:r>
      <w:proofErr w:type="spellEnd"/>
      <w:r w:rsidR="00143BCC" w:rsidRPr="00AE0F6D">
        <w:rPr>
          <w:szCs w:val="21"/>
          <w:lang w:val="en-US"/>
        </w:rPr>
        <w:t>/Old Montreal</w:t>
      </w:r>
    </w:p>
    <w:p w14:paraId="45E6E246" w14:textId="37AC3B6C" w:rsidR="00143BCC" w:rsidRPr="00AE0F6D" w:rsidRDefault="00143BCC" w:rsidP="009717D7">
      <w:pPr>
        <w:spacing w:after="40" w:line="240" w:lineRule="auto"/>
        <w:rPr>
          <w:szCs w:val="21"/>
          <w:lang w:val="en-US"/>
        </w:rPr>
      </w:pPr>
      <w:r w:rsidRPr="00AE0F6D">
        <w:rPr>
          <w:szCs w:val="21"/>
          <w:lang w:val="en-US"/>
        </w:rPr>
        <w:t>Parking:</w:t>
      </w:r>
      <w:r w:rsidR="00EE53A6" w:rsidRPr="00AE0F6D">
        <w:rPr>
          <w:szCs w:val="21"/>
          <w:lang w:val="en-US"/>
        </w:rPr>
        <w:tab/>
      </w:r>
      <w:r w:rsidR="00001CF4" w:rsidRPr="00AE0F6D">
        <w:rPr>
          <w:szCs w:val="21"/>
          <w:lang w:val="en-US"/>
        </w:rPr>
        <w:tab/>
      </w:r>
      <w:proofErr w:type="spellStart"/>
      <w:r w:rsidR="009717D7">
        <w:rPr>
          <w:szCs w:val="21"/>
          <w:lang w:val="en-US"/>
        </w:rPr>
        <w:t>Targetpark</w:t>
      </w:r>
      <w:proofErr w:type="spellEnd"/>
      <w:r w:rsidR="009717D7">
        <w:rPr>
          <w:szCs w:val="21"/>
          <w:lang w:val="en-US"/>
        </w:rPr>
        <w:t xml:space="preserve">, </w:t>
      </w:r>
      <w:r w:rsidRPr="00AE0F6D">
        <w:rPr>
          <w:szCs w:val="21"/>
          <w:lang w:val="en-US"/>
        </w:rPr>
        <w:t>75 Queen Street (at a cost)</w:t>
      </w:r>
    </w:p>
    <w:p w14:paraId="45836548" w14:textId="1E1AD1D8" w:rsidR="00143BCC" w:rsidRPr="00AE0F6D" w:rsidRDefault="00143BCC" w:rsidP="000E2D2B">
      <w:pPr>
        <w:spacing w:after="180" w:line="240" w:lineRule="auto"/>
        <w:ind w:left="1418" w:hanging="1418"/>
        <w:rPr>
          <w:szCs w:val="21"/>
          <w:lang w:val="en-US"/>
        </w:rPr>
      </w:pPr>
      <w:r w:rsidRPr="00AE0F6D">
        <w:rPr>
          <w:szCs w:val="21"/>
          <w:lang w:val="en-US"/>
        </w:rPr>
        <w:t>Public transit:</w:t>
      </w:r>
      <w:r w:rsidR="00C416B5" w:rsidRPr="00AE0F6D">
        <w:rPr>
          <w:szCs w:val="21"/>
          <w:lang w:val="en-US"/>
        </w:rPr>
        <w:tab/>
      </w:r>
      <w:r w:rsidRPr="00AE0F6D">
        <w:rPr>
          <w:szCs w:val="21"/>
          <w:lang w:val="en-US"/>
        </w:rPr>
        <w:t xml:space="preserve">Bus 107 south </w:t>
      </w:r>
      <w:r w:rsidR="00CC47A0" w:rsidRPr="00AE0F6D">
        <w:rPr>
          <w:szCs w:val="21"/>
          <w:lang w:val="en-US"/>
        </w:rPr>
        <w:t>(bus stop on Peel near</w:t>
      </w:r>
      <w:r w:rsidRPr="00AE0F6D">
        <w:rPr>
          <w:szCs w:val="21"/>
          <w:lang w:val="en-US"/>
        </w:rPr>
        <w:t xml:space="preserve"> McGill Faculty of Law</w:t>
      </w:r>
      <w:r w:rsidR="00CC47A0" w:rsidRPr="00AE0F6D">
        <w:rPr>
          <w:szCs w:val="21"/>
          <w:lang w:val="en-US"/>
        </w:rPr>
        <w:t>)</w:t>
      </w:r>
      <w:r w:rsidRPr="00AE0F6D">
        <w:rPr>
          <w:szCs w:val="21"/>
          <w:lang w:val="en-US"/>
        </w:rPr>
        <w:t>+short walk east on Wellington</w:t>
      </w:r>
      <w:r w:rsidR="008953FE" w:rsidRPr="00AE0F6D">
        <w:rPr>
          <w:szCs w:val="21"/>
          <w:lang w:val="en-US"/>
        </w:rPr>
        <w:t>; or metros Bonaventure and Square Victoria</w:t>
      </w:r>
    </w:p>
    <w:p w14:paraId="42A1D219" w14:textId="47F2B9F4" w:rsidR="009B5E86" w:rsidRPr="009B5E86" w:rsidRDefault="009B5E86" w:rsidP="000E2D2B">
      <w:pPr>
        <w:widowControl w:val="0"/>
        <w:autoSpaceDE w:val="0"/>
        <w:autoSpaceDN w:val="0"/>
        <w:adjustRightInd w:val="0"/>
        <w:spacing w:after="180" w:line="240" w:lineRule="auto"/>
        <w:jc w:val="both"/>
        <w:rPr>
          <w:rFonts w:ascii="Calibri" w:hAnsi="Calibri" w:cs="Calibri"/>
          <w:szCs w:val="21"/>
          <w:lang w:val="en-US"/>
        </w:rPr>
      </w:pPr>
      <w:bookmarkStart w:id="0" w:name="_GoBack"/>
      <w:r w:rsidRPr="009B5E86">
        <w:rPr>
          <w:rFonts w:ascii="Calibri" w:hAnsi="Calibri" w:cs="Calibri"/>
          <w:szCs w:val="21"/>
          <w:lang w:val="en-US"/>
        </w:rPr>
        <w:t>Law and innovation are usually framed in technological terms. Discussions focus on the means to incentivize technological developm</w:t>
      </w:r>
      <w:r w:rsidR="00E25C1C">
        <w:rPr>
          <w:rFonts w:ascii="Calibri" w:hAnsi="Calibri" w:cs="Calibri"/>
          <w:szCs w:val="21"/>
          <w:lang w:val="en-US"/>
        </w:rPr>
        <w:t>ent and regulate the use of new</w:t>
      </w:r>
      <w:r w:rsidRPr="009B5E86">
        <w:rPr>
          <w:rFonts w:ascii="Calibri" w:hAnsi="Calibri" w:cs="Calibri"/>
          <w:szCs w:val="21"/>
          <w:lang w:val="en-US"/>
        </w:rPr>
        <w:t> technologies. The assumption is that technological change is consubstantial with societal progress. As a result, lawyers and policy makers focus their efforts and critiques on whether or not law effectively supports or regulates the latest innovations. Overall, the legal dimension of innovation remains a matter for specialists, confined to the fields of intellectual property and risk regulation, those deemed most capable of understanding the needs and ambitions of scientists, engineers and managers. Jurists, it appears, must respond to technology-driven social changes with some kind of natural deference. </w:t>
      </w:r>
    </w:p>
    <w:p w14:paraId="5BA06345" w14:textId="06DC96DB" w:rsidR="009B5E86" w:rsidRPr="009B5E86" w:rsidRDefault="009B5E86" w:rsidP="000E2D2B">
      <w:pPr>
        <w:widowControl w:val="0"/>
        <w:autoSpaceDE w:val="0"/>
        <w:autoSpaceDN w:val="0"/>
        <w:adjustRightInd w:val="0"/>
        <w:spacing w:after="180" w:line="240" w:lineRule="auto"/>
        <w:jc w:val="both"/>
        <w:rPr>
          <w:rFonts w:ascii="Calibri" w:hAnsi="Calibri" w:cs="Calibri"/>
          <w:szCs w:val="21"/>
          <w:lang w:val="en-US"/>
        </w:rPr>
      </w:pPr>
      <w:r w:rsidRPr="009B5E86">
        <w:rPr>
          <w:rFonts w:ascii="Calibri" w:hAnsi="Calibri" w:cs="Calibri"/>
          <w:szCs w:val="21"/>
          <w:lang w:val="en-US"/>
        </w:rPr>
        <w:t xml:space="preserve">But the consubstantiality of technological change and societal progress is, at best, folklore. It is a romantic account of a history spoiled with profound social disruptions provoked by technology, not to mention disasters. The opposite account is no more enticing as a string of wild, unjustified public fears of new technologies. In the midst of speculation, controversy, and anxiety, lawyers and policy makers are tempted to take refuge in familiar yet problematic assumptions, such as the link between technological change and innovation, innovation and growth, growth and welfare. Law, in this narrative, remains the functional servant to technology. Never allowed to question the desirability of technological change, since it would then question innovation, growth, and welfare. To appease innovators and avoid </w:t>
      </w:r>
      <w:r w:rsidR="00FF734E">
        <w:rPr>
          <w:rFonts w:ascii="Calibri" w:hAnsi="Calibri" w:cs="Calibri"/>
          <w:szCs w:val="21"/>
          <w:lang w:val="en-US"/>
        </w:rPr>
        <w:t>criticism</w:t>
      </w:r>
      <w:r w:rsidRPr="009B5E86">
        <w:rPr>
          <w:rFonts w:ascii="Calibri" w:hAnsi="Calibri" w:cs="Calibri"/>
          <w:szCs w:val="21"/>
          <w:lang w:val="en-US"/>
        </w:rPr>
        <w:t>, jurists portray any interference as mere ‘law lag’, a temporary and soon-to-be-fixed condition.</w:t>
      </w:r>
    </w:p>
    <w:p w14:paraId="1D7861A9" w14:textId="7BB16ED0" w:rsidR="009B5E86" w:rsidRPr="009B5E86" w:rsidRDefault="009B5E86" w:rsidP="000E2D2B">
      <w:pPr>
        <w:widowControl w:val="0"/>
        <w:autoSpaceDE w:val="0"/>
        <w:autoSpaceDN w:val="0"/>
        <w:adjustRightInd w:val="0"/>
        <w:spacing w:after="180" w:line="240" w:lineRule="auto"/>
        <w:jc w:val="both"/>
        <w:rPr>
          <w:rFonts w:ascii="Calibri" w:hAnsi="Calibri" w:cs="Calibri"/>
          <w:szCs w:val="21"/>
          <w:lang w:val="en-US"/>
        </w:rPr>
      </w:pPr>
      <w:r w:rsidRPr="009B5E86">
        <w:rPr>
          <w:rFonts w:ascii="Calibri" w:hAnsi="Calibri" w:cs="Calibri"/>
          <w:szCs w:val="21"/>
          <w:lang w:val="en-US"/>
        </w:rPr>
        <w:t>Is there any other path for jurists but self-imposed technological determinism? We have long</w:t>
      </w:r>
      <w:r w:rsidRPr="009B5E86">
        <w:rPr>
          <w:rFonts w:ascii="Calibri" w:hAnsi="Calibri" w:cs="Calibri"/>
          <w:color w:val="18376A"/>
          <w:szCs w:val="21"/>
          <w:lang w:val="en-US"/>
        </w:rPr>
        <w:t xml:space="preserve"> </w:t>
      </w:r>
      <w:r w:rsidRPr="009B5E86">
        <w:rPr>
          <w:rFonts w:ascii="Calibri" w:hAnsi="Calibri" w:cs="Calibri"/>
          <w:szCs w:val="21"/>
          <w:lang w:val="en-US"/>
        </w:rPr>
        <w:t xml:space="preserve">known that innovation is a social construct, that technological change is both affecting and affected by social dynamics. Economists and geographers, among others, have shown how different conditions can spur or discourage different types of innovation. Social perceptions of what constitute successful innovation can differ from one place to another, and influence both innovators and policy makers. We are neither in want of such evidence, nor uncompelled to consider the social costs of innovation: will tomorrow's technological unemployment be tantamount to the industrial revolution’s </w:t>
      </w:r>
      <w:proofErr w:type="spellStart"/>
      <w:r w:rsidRPr="009B5E86">
        <w:rPr>
          <w:rFonts w:ascii="Calibri" w:hAnsi="Calibri" w:cs="Calibri"/>
          <w:szCs w:val="21"/>
          <w:lang w:val="en-US"/>
        </w:rPr>
        <w:t>labour</w:t>
      </w:r>
      <w:proofErr w:type="spellEnd"/>
      <w:r w:rsidRPr="009B5E86">
        <w:rPr>
          <w:rFonts w:ascii="Calibri" w:hAnsi="Calibri" w:cs="Calibri"/>
          <w:szCs w:val="21"/>
          <w:lang w:val="en-US"/>
        </w:rPr>
        <w:t xml:space="preserve"> abuses?</w:t>
      </w:r>
    </w:p>
    <w:bookmarkEnd w:id="0"/>
    <w:p w14:paraId="64213E8B" w14:textId="2E474392" w:rsidR="00CD566D" w:rsidRPr="009B5E86" w:rsidRDefault="009B5E86" w:rsidP="000E2D2B">
      <w:pPr>
        <w:spacing w:after="180" w:line="240" w:lineRule="auto"/>
        <w:jc w:val="both"/>
        <w:rPr>
          <w:szCs w:val="21"/>
          <w:lang w:val="en-US"/>
        </w:rPr>
      </w:pPr>
      <w:r w:rsidRPr="009B5E86">
        <w:rPr>
          <w:rFonts w:ascii="Calibri" w:hAnsi="Calibri" w:cs="Calibri"/>
          <w:szCs w:val="21"/>
          <w:lang w:val="en-US"/>
        </w:rPr>
        <w:t>Is it only a matter of identifying the values we wish to protect from technological change, and the means to do so? Or is it that we need to confront our own assumptions about what sort of legal interventions are appropriate in such matters?</w:t>
      </w:r>
    </w:p>
    <w:p w14:paraId="6A693981" w14:textId="640124FA" w:rsidR="009564E0" w:rsidRPr="00AE0F6D" w:rsidRDefault="00BF4854" w:rsidP="000E2D2B">
      <w:pPr>
        <w:spacing w:after="180" w:line="240" w:lineRule="auto"/>
        <w:jc w:val="both"/>
        <w:rPr>
          <w:szCs w:val="21"/>
          <w:lang w:val="en-US"/>
        </w:rPr>
      </w:pPr>
      <w:r w:rsidRPr="00AE0F6D">
        <w:rPr>
          <w:szCs w:val="21"/>
          <w:lang w:val="en-US"/>
        </w:rPr>
        <w:t xml:space="preserve">Registration is required.  </w:t>
      </w:r>
      <w:r w:rsidR="00C41CC8" w:rsidRPr="00AE0F6D">
        <w:rPr>
          <w:szCs w:val="21"/>
          <w:lang w:val="en-US"/>
        </w:rPr>
        <w:t xml:space="preserve">Please </w:t>
      </w:r>
      <w:r w:rsidR="001D6C7D" w:rsidRPr="00AE0F6D">
        <w:rPr>
          <w:szCs w:val="21"/>
          <w:lang w:val="en-US"/>
        </w:rPr>
        <w:t xml:space="preserve">register </w:t>
      </w:r>
      <w:r w:rsidR="00C41CC8" w:rsidRPr="00AE0F6D">
        <w:rPr>
          <w:rStyle w:val="Hyperlink"/>
          <w:color w:val="auto"/>
          <w:szCs w:val="21"/>
          <w:u w:val="none"/>
          <w:lang w:val="en-US"/>
        </w:rPr>
        <w:t>by e-mail to</w:t>
      </w:r>
      <w:r w:rsidR="009A114B">
        <w:rPr>
          <w:rStyle w:val="Hyperlink"/>
          <w:color w:val="auto"/>
          <w:szCs w:val="21"/>
          <w:u w:val="none"/>
          <w:lang w:val="en-US"/>
        </w:rPr>
        <w:t xml:space="preserve"> </w:t>
      </w:r>
      <w:hyperlink r:id="rId9" w:history="1">
        <w:r w:rsidR="009A114B" w:rsidRPr="00867A49">
          <w:rPr>
            <w:rStyle w:val="Hyperlink"/>
            <w:szCs w:val="21"/>
            <w:lang w:val="en-US"/>
          </w:rPr>
          <w:t>cipp1.law@mcgill.ca</w:t>
        </w:r>
      </w:hyperlink>
      <w:r w:rsidR="009A114B">
        <w:rPr>
          <w:rStyle w:val="Hyperlink"/>
          <w:szCs w:val="21"/>
          <w:lang w:val="en-US"/>
        </w:rPr>
        <w:t>.</w:t>
      </w:r>
      <w:r w:rsidR="00C41CC8" w:rsidRPr="00AE0F6D">
        <w:rPr>
          <w:szCs w:val="21"/>
          <w:lang w:val="en-US"/>
        </w:rPr>
        <w:t xml:space="preserve"> </w:t>
      </w:r>
      <w:r w:rsidR="00143BCC" w:rsidRPr="00AE0F6D">
        <w:rPr>
          <w:szCs w:val="21"/>
          <w:lang w:val="en-US"/>
        </w:rPr>
        <w:t>R</w:t>
      </w:r>
      <w:r w:rsidR="00CD566D" w:rsidRPr="00AE0F6D">
        <w:rPr>
          <w:szCs w:val="21"/>
          <w:lang w:val="en-US"/>
        </w:rPr>
        <w:t>eg</w:t>
      </w:r>
      <w:r w:rsidR="001D6C7D" w:rsidRPr="00AE0F6D">
        <w:rPr>
          <w:szCs w:val="21"/>
          <w:lang w:val="en-US"/>
        </w:rPr>
        <w:t xml:space="preserve">istration </w:t>
      </w:r>
      <w:r w:rsidRPr="00AE0F6D">
        <w:rPr>
          <w:szCs w:val="21"/>
          <w:lang w:val="en-US"/>
        </w:rPr>
        <w:t xml:space="preserve">is </w:t>
      </w:r>
      <w:r w:rsidR="001D6C7D" w:rsidRPr="00AE0F6D">
        <w:rPr>
          <w:szCs w:val="21"/>
          <w:lang w:val="en-US"/>
        </w:rPr>
        <w:t>limited to 100</w:t>
      </w:r>
      <w:r w:rsidR="00143BCC" w:rsidRPr="00AE0F6D">
        <w:rPr>
          <w:szCs w:val="21"/>
          <w:lang w:val="en-US"/>
        </w:rPr>
        <w:t xml:space="preserve"> participants.  First come, fi</w:t>
      </w:r>
      <w:r w:rsidR="00022609" w:rsidRPr="00AE0F6D">
        <w:rPr>
          <w:szCs w:val="21"/>
          <w:lang w:val="en-US"/>
        </w:rPr>
        <w:t>r</w:t>
      </w:r>
      <w:r w:rsidR="00143BCC" w:rsidRPr="00AE0F6D">
        <w:rPr>
          <w:szCs w:val="21"/>
          <w:lang w:val="en-US"/>
        </w:rPr>
        <w:t>st served</w:t>
      </w:r>
      <w:r w:rsidR="00CD566D" w:rsidRPr="00AE0F6D">
        <w:rPr>
          <w:szCs w:val="21"/>
          <w:lang w:val="en-US"/>
        </w:rPr>
        <w:t>.</w:t>
      </w:r>
    </w:p>
    <w:p w14:paraId="7134A85B" w14:textId="77777777" w:rsidR="00DF0345" w:rsidRDefault="00BC72A6" w:rsidP="000E2D2B">
      <w:pPr>
        <w:spacing w:after="180" w:line="240" w:lineRule="auto"/>
        <w:jc w:val="both"/>
        <w:rPr>
          <w:szCs w:val="21"/>
          <w:lang w:val="en-US"/>
        </w:rPr>
      </w:pPr>
      <w:r w:rsidRPr="00AE0F6D">
        <w:rPr>
          <w:szCs w:val="21"/>
          <w:lang w:val="en-US"/>
        </w:rPr>
        <w:t>A request for CLE accreditation has been made to the Quebec Bar Association.</w:t>
      </w:r>
    </w:p>
    <w:p w14:paraId="63E2CD47" w14:textId="1E282910" w:rsidR="00DF0345" w:rsidRPr="00F92EDF" w:rsidRDefault="00F92EDF" w:rsidP="00DF0345">
      <w:pPr>
        <w:spacing w:after="0" w:line="240" w:lineRule="auto"/>
        <w:rPr>
          <w:b/>
          <w:sz w:val="28"/>
          <w:szCs w:val="28"/>
        </w:rPr>
      </w:pPr>
      <w:r>
        <w:rPr>
          <w:b/>
          <w:sz w:val="28"/>
          <w:szCs w:val="28"/>
        </w:rPr>
        <w:lastRenderedPageBreak/>
        <w:t xml:space="preserve">Conference </w:t>
      </w:r>
      <w:r w:rsidR="00460E55">
        <w:rPr>
          <w:b/>
          <w:sz w:val="28"/>
          <w:szCs w:val="28"/>
        </w:rPr>
        <w:t>s</w:t>
      </w:r>
      <w:r w:rsidRPr="00F92EDF">
        <w:rPr>
          <w:b/>
          <w:sz w:val="28"/>
          <w:szCs w:val="28"/>
        </w:rPr>
        <w:t>chedule</w:t>
      </w:r>
    </w:p>
    <w:p w14:paraId="0EEA06F8" w14:textId="77777777" w:rsidR="00DF0345" w:rsidRDefault="00DF0345" w:rsidP="00DF0345">
      <w:pPr>
        <w:spacing w:after="0" w:line="240" w:lineRule="auto"/>
        <w:rPr>
          <w:szCs w:val="21"/>
        </w:rPr>
      </w:pPr>
    </w:p>
    <w:p w14:paraId="5B70F83B" w14:textId="77777777" w:rsidR="00DF0345" w:rsidRDefault="00DF0345" w:rsidP="00DF0345">
      <w:pPr>
        <w:spacing w:after="0" w:line="240" w:lineRule="auto"/>
        <w:rPr>
          <w:szCs w:val="21"/>
        </w:rPr>
      </w:pPr>
    </w:p>
    <w:p w14:paraId="2DFAC6E4" w14:textId="0F855660" w:rsidR="00DF0345" w:rsidRDefault="00DF0345" w:rsidP="00DF0345">
      <w:pPr>
        <w:spacing w:after="0" w:line="240" w:lineRule="auto"/>
        <w:rPr>
          <w:b/>
          <w:szCs w:val="21"/>
        </w:rPr>
      </w:pPr>
      <w:r>
        <w:rPr>
          <w:szCs w:val="21"/>
        </w:rPr>
        <w:t>1:30</w:t>
      </w:r>
      <w:r w:rsidRPr="005C38C4">
        <w:rPr>
          <w:szCs w:val="21"/>
        </w:rPr>
        <w:tab/>
      </w:r>
      <w:r w:rsidRPr="005C38C4">
        <w:rPr>
          <w:szCs w:val="21"/>
        </w:rPr>
        <w:tab/>
      </w:r>
      <w:r w:rsidRPr="00DF0345">
        <w:rPr>
          <w:b/>
          <w:szCs w:val="21"/>
        </w:rPr>
        <w:t>Welcome and opening remarks</w:t>
      </w:r>
    </w:p>
    <w:p w14:paraId="3D4215B1" w14:textId="77777777" w:rsidR="00F92EDF" w:rsidRDefault="00F92EDF" w:rsidP="00DF0345">
      <w:pPr>
        <w:spacing w:after="60" w:line="240" w:lineRule="auto"/>
        <w:ind w:left="1985" w:firstLine="175"/>
        <w:rPr>
          <w:szCs w:val="21"/>
        </w:rPr>
      </w:pPr>
    </w:p>
    <w:p w14:paraId="08ACE509" w14:textId="1EBAB935" w:rsidR="00DF0345" w:rsidRPr="00F92EDF" w:rsidRDefault="00DF0345" w:rsidP="00F92EDF">
      <w:pPr>
        <w:spacing w:after="60" w:line="240" w:lineRule="auto"/>
        <w:ind w:left="2127"/>
        <w:rPr>
          <w:szCs w:val="21"/>
          <w:lang w:val="fr-CA"/>
        </w:rPr>
      </w:pPr>
      <w:r w:rsidRPr="00F92EDF">
        <w:rPr>
          <w:b/>
          <w:szCs w:val="21"/>
          <w:lang w:val="fr-CA"/>
        </w:rPr>
        <w:t xml:space="preserve">Vincent </w:t>
      </w:r>
      <w:proofErr w:type="spellStart"/>
      <w:r w:rsidRPr="00F92EDF">
        <w:rPr>
          <w:b/>
          <w:szCs w:val="21"/>
          <w:lang w:val="fr-CA"/>
        </w:rPr>
        <w:t>Gautrais</w:t>
      </w:r>
      <w:proofErr w:type="spellEnd"/>
      <w:r w:rsidR="00F92EDF" w:rsidRPr="00F92EDF">
        <w:rPr>
          <w:szCs w:val="21"/>
          <w:lang w:val="fr-CA"/>
        </w:rPr>
        <w:t>, Professor</w:t>
      </w:r>
      <w:r w:rsidR="00F92EDF">
        <w:rPr>
          <w:szCs w:val="21"/>
          <w:lang w:val="fr-CA"/>
        </w:rPr>
        <w:t xml:space="preserve">, </w:t>
      </w:r>
      <w:proofErr w:type="spellStart"/>
      <w:r w:rsidR="00F92EDF">
        <w:rPr>
          <w:szCs w:val="21"/>
          <w:lang w:val="fr-CA"/>
        </w:rPr>
        <w:t>Director</w:t>
      </w:r>
      <w:proofErr w:type="spellEnd"/>
      <w:r w:rsidR="00F92EDF">
        <w:rPr>
          <w:szCs w:val="21"/>
          <w:lang w:val="fr-CA"/>
        </w:rPr>
        <w:t>, Centre des Recherche en droit public, Faculté de droit, Université de Montréal</w:t>
      </w:r>
    </w:p>
    <w:p w14:paraId="48AE3012" w14:textId="77777777" w:rsidR="00DF0345" w:rsidRPr="00F92EDF" w:rsidRDefault="00DF0345" w:rsidP="00DF0345">
      <w:pPr>
        <w:spacing w:after="0" w:line="240" w:lineRule="auto"/>
        <w:rPr>
          <w:szCs w:val="21"/>
          <w:lang w:val="fr-CA"/>
        </w:rPr>
      </w:pPr>
    </w:p>
    <w:p w14:paraId="5D76FF4C" w14:textId="7560AA6E" w:rsidR="00DF0345" w:rsidRPr="00DF0345" w:rsidRDefault="00DF0345" w:rsidP="00DF0345">
      <w:pPr>
        <w:spacing w:after="0" w:line="240" w:lineRule="auto"/>
        <w:rPr>
          <w:b/>
          <w:szCs w:val="21"/>
        </w:rPr>
      </w:pPr>
      <w:r>
        <w:rPr>
          <w:szCs w:val="21"/>
        </w:rPr>
        <w:t>1:35-2:00</w:t>
      </w:r>
      <w:r>
        <w:rPr>
          <w:szCs w:val="21"/>
        </w:rPr>
        <w:tab/>
      </w:r>
      <w:r w:rsidRPr="00DF0345">
        <w:rPr>
          <w:b/>
          <w:szCs w:val="21"/>
        </w:rPr>
        <w:t>Keynote</w:t>
      </w:r>
    </w:p>
    <w:p w14:paraId="28CCE84F" w14:textId="7311A271" w:rsidR="00D101B4" w:rsidRPr="005A402B" w:rsidRDefault="00DF0345" w:rsidP="00D101B4">
      <w:pPr>
        <w:spacing w:after="0" w:line="240" w:lineRule="auto"/>
        <w:jc w:val="both"/>
        <w:rPr>
          <w:b/>
          <w:i/>
          <w:spacing w:val="-2"/>
          <w:szCs w:val="21"/>
        </w:rPr>
      </w:pPr>
      <w:r>
        <w:rPr>
          <w:szCs w:val="21"/>
        </w:rPr>
        <w:tab/>
      </w:r>
      <w:r>
        <w:rPr>
          <w:szCs w:val="21"/>
        </w:rPr>
        <w:tab/>
      </w:r>
      <w:r>
        <w:rPr>
          <w:szCs w:val="21"/>
        </w:rPr>
        <w:tab/>
      </w:r>
    </w:p>
    <w:p w14:paraId="57F8DC4A" w14:textId="77777777" w:rsidR="00D101B4" w:rsidRPr="00D101B4" w:rsidRDefault="00D101B4" w:rsidP="00D101B4">
      <w:pPr>
        <w:spacing w:after="0" w:line="240" w:lineRule="auto"/>
        <w:ind w:left="2160"/>
        <w:jc w:val="both"/>
        <w:rPr>
          <w:szCs w:val="21"/>
        </w:rPr>
      </w:pPr>
      <w:r w:rsidRPr="00D101B4">
        <w:rPr>
          <w:b/>
          <w:szCs w:val="21"/>
        </w:rPr>
        <w:t>Asa Kling</w:t>
      </w:r>
      <w:r w:rsidRPr="00D101B4">
        <w:rPr>
          <w:szCs w:val="21"/>
        </w:rPr>
        <w:t>, Director, Israel Patent Office</w:t>
      </w:r>
    </w:p>
    <w:p w14:paraId="0127E891" w14:textId="77777777" w:rsidR="00D101B4" w:rsidRPr="00D101B4" w:rsidRDefault="00D101B4" w:rsidP="00D101B4">
      <w:pPr>
        <w:spacing w:after="0" w:line="240" w:lineRule="auto"/>
        <w:ind w:left="2160"/>
        <w:jc w:val="both"/>
        <w:rPr>
          <w:i/>
          <w:spacing w:val="-2"/>
          <w:szCs w:val="21"/>
        </w:rPr>
      </w:pPr>
      <w:r w:rsidRPr="00D101B4">
        <w:rPr>
          <w:i/>
          <w:spacing w:val="-2"/>
          <w:szCs w:val="21"/>
        </w:rPr>
        <w:t>Perspectives of an IP Regulator: Designing Innovation Instigating Policy while Applying the Letter of the Law</w:t>
      </w:r>
    </w:p>
    <w:p w14:paraId="392D01DE" w14:textId="179EDEEF" w:rsidR="00DF0345" w:rsidRDefault="00DF0345" w:rsidP="00DF0345">
      <w:pPr>
        <w:spacing w:after="0" w:line="240" w:lineRule="auto"/>
        <w:rPr>
          <w:szCs w:val="21"/>
        </w:rPr>
      </w:pPr>
      <w:r>
        <w:rPr>
          <w:szCs w:val="21"/>
        </w:rPr>
        <w:tab/>
      </w:r>
    </w:p>
    <w:p w14:paraId="6BDB3354" w14:textId="69AA9FBE" w:rsidR="00DF0345" w:rsidRDefault="00DF0345" w:rsidP="00DF0345">
      <w:pPr>
        <w:spacing w:after="0" w:line="240" w:lineRule="auto"/>
        <w:rPr>
          <w:b/>
          <w:szCs w:val="21"/>
        </w:rPr>
      </w:pPr>
      <w:r>
        <w:rPr>
          <w:szCs w:val="21"/>
        </w:rPr>
        <w:t>2:00</w:t>
      </w:r>
      <w:r w:rsidRPr="005C38C4">
        <w:rPr>
          <w:szCs w:val="21"/>
        </w:rPr>
        <w:t>–</w:t>
      </w:r>
      <w:r>
        <w:rPr>
          <w:szCs w:val="21"/>
        </w:rPr>
        <w:t>3:4</w:t>
      </w:r>
      <w:r w:rsidR="00823CE0">
        <w:rPr>
          <w:szCs w:val="21"/>
        </w:rPr>
        <w:t>5</w:t>
      </w:r>
      <w:r w:rsidRPr="005C38C4">
        <w:rPr>
          <w:szCs w:val="21"/>
        </w:rPr>
        <w:tab/>
      </w:r>
      <w:r w:rsidR="00D101B4" w:rsidRPr="00D101B4">
        <w:rPr>
          <w:b/>
          <w:szCs w:val="21"/>
        </w:rPr>
        <w:t>Preconceptions about Innovation Policy</w:t>
      </w:r>
    </w:p>
    <w:p w14:paraId="4F8081DE" w14:textId="77777777" w:rsidR="00D101B4" w:rsidRPr="00D101B4" w:rsidRDefault="00D101B4" w:rsidP="00DF0345">
      <w:pPr>
        <w:spacing w:after="0" w:line="240" w:lineRule="auto"/>
        <w:rPr>
          <w:b/>
          <w:szCs w:val="21"/>
          <w:lang w:val="en-US"/>
        </w:rPr>
      </w:pPr>
    </w:p>
    <w:p w14:paraId="7391B4CC" w14:textId="77777777" w:rsidR="00D101B4" w:rsidRPr="00D101B4" w:rsidRDefault="00D101B4" w:rsidP="00D101B4">
      <w:pPr>
        <w:spacing w:after="0" w:line="240" w:lineRule="auto"/>
        <w:ind w:left="2160"/>
        <w:jc w:val="both"/>
        <w:rPr>
          <w:szCs w:val="21"/>
          <w:u w:val="single"/>
          <w:lang w:val="fr-CA"/>
        </w:rPr>
      </w:pPr>
      <w:proofErr w:type="spellStart"/>
      <w:r w:rsidRPr="00D101B4">
        <w:rPr>
          <w:b/>
          <w:szCs w:val="21"/>
          <w:lang w:val="fr-CA"/>
        </w:rPr>
        <w:t>Eve</w:t>
      </w:r>
      <w:proofErr w:type="spellEnd"/>
      <w:r w:rsidRPr="00D101B4">
        <w:rPr>
          <w:b/>
          <w:szCs w:val="21"/>
          <w:lang w:val="fr-CA"/>
        </w:rPr>
        <w:t xml:space="preserve"> Seguin</w:t>
      </w:r>
      <w:r w:rsidRPr="00D101B4">
        <w:rPr>
          <w:szCs w:val="21"/>
          <w:lang w:val="fr-CA"/>
        </w:rPr>
        <w:t>, Professeure, Département de science politique, UQÀM</w:t>
      </w:r>
    </w:p>
    <w:p w14:paraId="37D1F7BC" w14:textId="77777777" w:rsidR="00D101B4" w:rsidRPr="00D101B4" w:rsidRDefault="00D101B4" w:rsidP="00D101B4">
      <w:pPr>
        <w:pStyle w:val="NormalWeb"/>
        <w:keepNext/>
        <w:spacing w:before="0" w:beforeAutospacing="0" w:after="0" w:afterAutospacing="0"/>
        <w:ind w:left="2160"/>
        <w:jc w:val="both"/>
        <w:rPr>
          <w:rFonts w:asciiTheme="minorHAnsi" w:hAnsiTheme="minorHAnsi"/>
          <w:i/>
          <w:sz w:val="21"/>
          <w:szCs w:val="21"/>
          <w:lang w:val="fr-CA"/>
        </w:rPr>
      </w:pPr>
      <w:r w:rsidRPr="00D101B4">
        <w:rPr>
          <w:rFonts w:asciiTheme="minorHAnsi" w:hAnsiTheme="minorHAnsi"/>
          <w:i/>
          <w:sz w:val="21"/>
          <w:szCs w:val="21"/>
          <w:lang w:val="fr-CA"/>
        </w:rPr>
        <w:t>L’innovation au prisme des rapports de pouvoir</w:t>
      </w:r>
    </w:p>
    <w:p w14:paraId="75D91E18" w14:textId="77777777" w:rsidR="00D101B4" w:rsidRPr="00D101B4" w:rsidRDefault="00D101B4" w:rsidP="00D101B4">
      <w:pPr>
        <w:spacing w:before="200" w:after="0" w:line="240" w:lineRule="auto"/>
        <w:ind w:left="2160"/>
        <w:jc w:val="both"/>
        <w:rPr>
          <w:rFonts w:ascii="Calibri" w:eastAsia="Times New Roman" w:hAnsi="Calibri" w:cs="Times New Roman"/>
          <w:szCs w:val="21"/>
        </w:rPr>
      </w:pPr>
      <w:r w:rsidRPr="00D101B4">
        <w:rPr>
          <w:rFonts w:ascii="Calibri" w:eastAsia="Times New Roman" w:hAnsi="Calibri" w:cs="Times New Roman"/>
          <w:b/>
          <w:szCs w:val="21"/>
        </w:rPr>
        <w:t>Margaret Graham</w:t>
      </w:r>
      <w:r w:rsidRPr="00D101B4">
        <w:rPr>
          <w:rFonts w:ascii="Calibri" w:eastAsia="Times New Roman" w:hAnsi="Calibri" w:cs="Times New Roman"/>
          <w:szCs w:val="21"/>
        </w:rPr>
        <w:t xml:space="preserve">, Professor, </w:t>
      </w:r>
      <w:proofErr w:type="spellStart"/>
      <w:r w:rsidRPr="00D101B4">
        <w:rPr>
          <w:szCs w:val="21"/>
        </w:rPr>
        <w:t>Desautels</w:t>
      </w:r>
      <w:proofErr w:type="spellEnd"/>
      <w:r w:rsidRPr="00D101B4">
        <w:rPr>
          <w:szCs w:val="21"/>
        </w:rPr>
        <w:t xml:space="preserve"> Faculty of Management, McGill University</w:t>
      </w:r>
    </w:p>
    <w:p w14:paraId="25646A18" w14:textId="77777777" w:rsidR="00D101B4" w:rsidRPr="00D101B4" w:rsidRDefault="00D101B4" w:rsidP="00D101B4">
      <w:pPr>
        <w:spacing w:after="0" w:line="240" w:lineRule="auto"/>
        <w:ind w:left="2160"/>
        <w:jc w:val="both"/>
        <w:rPr>
          <w:i/>
          <w:szCs w:val="21"/>
        </w:rPr>
      </w:pPr>
      <w:r w:rsidRPr="00D101B4">
        <w:rPr>
          <w:i/>
          <w:szCs w:val="21"/>
        </w:rPr>
        <w:t>The Social Cost of Transactional Thinking: Less Beneficial Technology</w:t>
      </w:r>
    </w:p>
    <w:p w14:paraId="56950C1A" w14:textId="77777777" w:rsidR="00D101B4" w:rsidRDefault="00D101B4" w:rsidP="00D101B4">
      <w:pPr>
        <w:spacing w:after="0" w:line="240" w:lineRule="auto"/>
        <w:ind w:left="2160"/>
        <w:jc w:val="both"/>
        <w:rPr>
          <w:szCs w:val="21"/>
        </w:rPr>
      </w:pPr>
    </w:p>
    <w:p w14:paraId="707D982B" w14:textId="77777777" w:rsidR="00D101B4" w:rsidRPr="00D101B4" w:rsidRDefault="00D101B4" w:rsidP="00D101B4">
      <w:pPr>
        <w:spacing w:after="0" w:line="240" w:lineRule="auto"/>
        <w:ind w:left="2160"/>
        <w:jc w:val="both"/>
        <w:rPr>
          <w:szCs w:val="21"/>
        </w:rPr>
      </w:pPr>
      <w:r w:rsidRPr="00D101B4">
        <w:rPr>
          <w:b/>
          <w:szCs w:val="21"/>
        </w:rPr>
        <w:t>Allison Christians</w:t>
      </w:r>
      <w:r w:rsidRPr="00D101B4">
        <w:rPr>
          <w:szCs w:val="21"/>
        </w:rPr>
        <w:t>, Professor, Stikeman Chair in Tax Law, McGill Faculty of Law</w:t>
      </w:r>
    </w:p>
    <w:p w14:paraId="1D439140" w14:textId="77777777" w:rsidR="00D101B4" w:rsidRPr="00D101B4" w:rsidRDefault="00D101B4" w:rsidP="00D101B4">
      <w:pPr>
        <w:spacing w:after="0" w:line="240" w:lineRule="auto"/>
        <w:ind w:left="2160"/>
        <w:jc w:val="both"/>
        <w:rPr>
          <w:i/>
          <w:szCs w:val="21"/>
        </w:rPr>
      </w:pPr>
      <w:r w:rsidRPr="00D101B4">
        <w:rPr>
          <w:i/>
          <w:szCs w:val="21"/>
        </w:rPr>
        <w:t>Public Support for Innovation: A Worthy Investment?</w:t>
      </w:r>
    </w:p>
    <w:p w14:paraId="31779D5A" w14:textId="77777777" w:rsidR="00D101B4" w:rsidRPr="00D101B4" w:rsidRDefault="00D101B4" w:rsidP="00D101B4">
      <w:pPr>
        <w:pStyle w:val="NormalWeb"/>
        <w:keepNext/>
        <w:spacing w:before="0" w:beforeAutospacing="0" w:after="0" w:afterAutospacing="0"/>
        <w:jc w:val="both"/>
        <w:rPr>
          <w:rFonts w:asciiTheme="minorHAnsi" w:hAnsiTheme="minorHAnsi"/>
          <w:b/>
          <w:i/>
          <w:sz w:val="21"/>
          <w:szCs w:val="21"/>
        </w:rPr>
      </w:pPr>
    </w:p>
    <w:p w14:paraId="5A935111" w14:textId="0A5A01E2" w:rsidR="00D101B4" w:rsidRDefault="00DF0345" w:rsidP="00DF0345">
      <w:pPr>
        <w:tabs>
          <w:tab w:val="left" w:pos="720"/>
          <w:tab w:val="left" w:pos="1440"/>
          <w:tab w:val="center" w:pos="4680"/>
        </w:tabs>
        <w:spacing w:after="60" w:line="240" w:lineRule="auto"/>
        <w:rPr>
          <w:b/>
          <w:szCs w:val="21"/>
          <w:lang w:val="en-US"/>
        </w:rPr>
      </w:pPr>
      <w:r w:rsidRPr="005C38C4">
        <w:rPr>
          <w:szCs w:val="21"/>
          <w:lang w:val="en-US"/>
        </w:rPr>
        <w:t>3:</w:t>
      </w:r>
      <w:r w:rsidR="00D101B4">
        <w:rPr>
          <w:szCs w:val="21"/>
          <w:lang w:val="en-US"/>
        </w:rPr>
        <w:t>4</w:t>
      </w:r>
      <w:r w:rsidR="00823CE0">
        <w:rPr>
          <w:szCs w:val="21"/>
          <w:lang w:val="en-US"/>
        </w:rPr>
        <w:t>5</w:t>
      </w:r>
      <w:r w:rsidRPr="005C38C4">
        <w:rPr>
          <w:szCs w:val="21"/>
          <w:lang w:val="en-US"/>
        </w:rPr>
        <w:t>–</w:t>
      </w:r>
      <w:r w:rsidR="00823CE0">
        <w:rPr>
          <w:szCs w:val="21"/>
          <w:lang w:val="en-US"/>
        </w:rPr>
        <w:t>4</w:t>
      </w:r>
      <w:r w:rsidRPr="005C38C4">
        <w:rPr>
          <w:szCs w:val="21"/>
          <w:lang w:val="en-US"/>
        </w:rPr>
        <w:t>:</w:t>
      </w:r>
      <w:r w:rsidR="00823CE0">
        <w:rPr>
          <w:szCs w:val="21"/>
          <w:lang w:val="en-US"/>
        </w:rPr>
        <w:t>00</w:t>
      </w:r>
      <w:r w:rsidRPr="005C38C4">
        <w:rPr>
          <w:szCs w:val="21"/>
          <w:lang w:val="en-US"/>
        </w:rPr>
        <w:tab/>
      </w:r>
      <w:r w:rsidRPr="005C38C4">
        <w:rPr>
          <w:b/>
          <w:szCs w:val="21"/>
          <w:lang w:val="en-US"/>
        </w:rPr>
        <w:t>Break</w:t>
      </w:r>
    </w:p>
    <w:p w14:paraId="50FEC1CC" w14:textId="6099D4BD" w:rsidR="00DF0345" w:rsidRPr="005C38C4" w:rsidRDefault="00DF0345" w:rsidP="00DF0345">
      <w:pPr>
        <w:tabs>
          <w:tab w:val="left" w:pos="720"/>
          <w:tab w:val="left" w:pos="1440"/>
          <w:tab w:val="center" w:pos="4680"/>
        </w:tabs>
        <w:spacing w:after="60" w:line="240" w:lineRule="auto"/>
        <w:rPr>
          <w:b/>
          <w:szCs w:val="21"/>
          <w:lang w:val="en-US"/>
        </w:rPr>
      </w:pPr>
      <w:r w:rsidRPr="005C38C4">
        <w:rPr>
          <w:b/>
          <w:szCs w:val="21"/>
          <w:lang w:val="en-US"/>
        </w:rPr>
        <w:tab/>
      </w:r>
    </w:p>
    <w:p w14:paraId="585D8DAB" w14:textId="4AD5CBE1" w:rsidR="00DF0345" w:rsidRDefault="00DF0345" w:rsidP="00DF0345">
      <w:pPr>
        <w:spacing w:after="0" w:line="240" w:lineRule="auto"/>
        <w:rPr>
          <w:b/>
          <w:szCs w:val="21"/>
          <w:lang w:val="en-US"/>
        </w:rPr>
      </w:pPr>
      <w:r w:rsidRPr="005C38C4">
        <w:rPr>
          <w:szCs w:val="21"/>
          <w:lang w:val="en-US"/>
        </w:rPr>
        <w:t>4:0</w:t>
      </w:r>
      <w:r w:rsidR="00D101B4">
        <w:rPr>
          <w:szCs w:val="21"/>
          <w:lang w:val="en-US"/>
        </w:rPr>
        <w:t>0</w:t>
      </w:r>
      <w:r w:rsidRPr="005C38C4">
        <w:rPr>
          <w:szCs w:val="21"/>
          <w:lang w:val="en-US"/>
        </w:rPr>
        <w:t>–5:</w:t>
      </w:r>
      <w:r w:rsidR="00D101B4">
        <w:rPr>
          <w:szCs w:val="21"/>
          <w:lang w:val="en-US"/>
        </w:rPr>
        <w:t>30</w:t>
      </w:r>
      <w:r w:rsidRPr="005C38C4">
        <w:rPr>
          <w:szCs w:val="21"/>
          <w:lang w:val="en-US"/>
        </w:rPr>
        <w:tab/>
      </w:r>
      <w:r w:rsidR="00D101B4" w:rsidRPr="00D101B4">
        <w:rPr>
          <w:b/>
          <w:szCs w:val="21"/>
          <w:lang w:val="en-US"/>
        </w:rPr>
        <w:t>Regulation and Innovation</w:t>
      </w:r>
    </w:p>
    <w:p w14:paraId="075CE240" w14:textId="77777777" w:rsidR="00D101B4" w:rsidRPr="00D101B4" w:rsidRDefault="00D101B4" w:rsidP="00D101B4">
      <w:pPr>
        <w:spacing w:before="200" w:after="0" w:line="240" w:lineRule="auto"/>
        <w:ind w:left="2160"/>
        <w:jc w:val="both"/>
        <w:rPr>
          <w:szCs w:val="21"/>
          <w:lang w:val="fr-CA"/>
        </w:rPr>
      </w:pPr>
      <w:r w:rsidRPr="00D101B4">
        <w:rPr>
          <w:b/>
          <w:szCs w:val="21"/>
          <w:lang w:val="fr-CA"/>
        </w:rPr>
        <w:t xml:space="preserve">Jean-Christophe </w:t>
      </w:r>
      <w:proofErr w:type="spellStart"/>
      <w:r w:rsidRPr="00D101B4">
        <w:rPr>
          <w:b/>
          <w:szCs w:val="21"/>
          <w:lang w:val="fr-CA"/>
        </w:rPr>
        <w:t>Galloux</w:t>
      </w:r>
      <w:proofErr w:type="spellEnd"/>
      <w:r w:rsidRPr="00D101B4">
        <w:rPr>
          <w:szCs w:val="21"/>
          <w:lang w:val="fr-CA"/>
        </w:rPr>
        <w:t>, Professeur en droit privé, Université Paris II</w:t>
      </w:r>
    </w:p>
    <w:p w14:paraId="11605392" w14:textId="77777777" w:rsidR="00D101B4" w:rsidRPr="00D101B4" w:rsidRDefault="00D101B4" w:rsidP="00D101B4">
      <w:pPr>
        <w:spacing w:after="0" w:line="240" w:lineRule="auto"/>
        <w:ind w:left="2160"/>
        <w:jc w:val="both"/>
        <w:rPr>
          <w:i/>
          <w:szCs w:val="21"/>
        </w:rPr>
      </w:pPr>
      <w:r w:rsidRPr="00D101B4">
        <w:rPr>
          <w:i/>
          <w:szCs w:val="21"/>
        </w:rPr>
        <w:t>The Social Costs of Innovation: Industrial property a controversial tool?</w:t>
      </w:r>
    </w:p>
    <w:p w14:paraId="0EECB90D" w14:textId="77777777" w:rsidR="00D101B4" w:rsidRPr="00D101B4" w:rsidRDefault="00D101B4" w:rsidP="00D101B4">
      <w:pPr>
        <w:spacing w:before="200" w:after="0" w:line="240" w:lineRule="auto"/>
        <w:ind w:left="2160"/>
        <w:jc w:val="both"/>
        <w:rPr>
          <w:rFonts w:ascii="Calibri" w:eastAsia="Times New Roman" w:hAnsi="Calibri" w:cs="Times New Roman"/>
          <w:szCs w:val="21"/>
        </w:rPr>
      </w:pPr>
      <w:r w:rsidRPr="00D101B4">
        <w:rPr>
          <w:rFonts w:ascii="Calibri" w:eastAsia="Times New Roman" w:hAnsi="Calibri" w:cs="Times New Roman"/>
          <w:b/>
          <w:szCs w:val="21"/>
        </w:rPr>
        <w:t>Richard Gold</w:t>
      </w:r>
      <w:r w:rsidRPr="00D101B4">
        <w:rPr>
          <w:rFonts w:ascii="Calibri" w:eastAsia="Times New Roman" w:hAnsi="Calibri" w:cs="Times New Roman"/>
          <w:szCs w:val="21"/>
        </w:rPr>
        <w:t>, James McGill Professor, McGill Faculty of Law</w:t>
      </w:r>
    </w:p>
    <w:p w14:paraId="2A83F3A0" w14:textId="77777777" w:rsidR="00D101B4" w:rsidRPr="00D101B4" w:rsidRDefault="00D101B4" w:rsidP="00D101B4">
      <w:pPr>
        <w:widowControl w:val="0"/>
        <w:autoSpaceDE w:val="0"/>
        <w:autoSpaceDN w:val="0"/>
        <w:adjustRightInd w:val="0"/>
        <w:spacing w:after="0" w:line="240" w:lineRule="auto"/>
        <w:ind w:left="2160"/>
        <w:jc w:val="both"/>
        <w:rPr>
          <w:rFonts w:ascii="Calibri" w:hAnsi="Calibri" w:cs="Times New Roman"/>
          <w:i/>
          <w:color w:val="2F2A27"/>
          <w:szCs w:val="21"/>
          <w:lang w:val="en-US"/>
        </w:rPr>
      </w:pPr>
      <w:r w:rsidRPr="00D101B4">
        <w:rPr>
          <w:rFonts w:ascii="Calibri" w:hAnsi="Calibri" w:cs="Times New Roman"/>
          <w:i/>
          <w:color w:val="2F2A27"/>
          <w:szCs w:val="21"/>
          <w:lang w:val="en-US"/>
        </w:rPr>
        <w:t>Predatory IP Law and Canadian Innovation</w:t>
      </w:r>
    </w:p>
    <w:p w14:paraId="70377DB2" w14:textId="77777777" w:rsidR="00D101B4" w:rsidRPr="00D101B4" w:rsidRDefault="00D101B4" w:rsidP="00D101B4">
      <w:pPr>
        <w:widowControl w:val="0"/>
        <w:autoSpaceDE w:val="0"/>
        <w:autoSpaceDN w:val="0"/>
        <w:adjustRightInd w:val="0"/>
        <w:spacing w:after="0" w:line="240" w:lineRule="auto"/>
        <w:ind w:left="2160"/>
        <w:jc w:val="both"/>
        <w:rPr>
          <w:rFonts w:ascii="Calibri" w:hAnsi="Calibri" w:cs="Times New Roman"/>
          <w:i/>
          <w:color w:val="2F2A27"/>
          <w:szCs w:val="21"/>
          <w:lang w:val="en-US"/>
        </w:rPr>
      </w:pPr>
    </w:p>
    <w:p w14:paraId="304A8ACC" w14:textId="77777777" w:rsidR="00D101B4" w:rsidRPr="00D101B4" w:rsidRDefault="00D101B4" w:rsidP="00D101B4">
      <w:pPr>
        <w:pStyle w:val="NormalWeb"/>
        <w:keepNext/>
        <w:spacing w:before="0" w:beforeAutospacing="0" w:after="0" w:afterAutospacing="0"/>
        <w:ind w:left="2160"/>
        <w:jc w:val="both"/>
        <w:rPr>
          <w:rFonts w:asciiTheme="minorHAnsi" w:hAnsiTheme="minorHAnsi"/>
          <w:sz w:val="21"/>
          <w:szCs w:val="21"/>
          <w:lang w:val="en"/>
        </w:rPr>
      </w:pPr>
      <w:r w:rsidRPr="00D101B4">
        <w:rPr>
          <w:rFonts w:asciiTheme="minorHAnsi" w:hAnsiTheme="minorHAnsi"/>
          <w:b/>
          <w:sz w:val="21"/>
          <w:szCs w:val="21"/>
          <w:lang w:val="en"/>
        </w:rPr>
        <w:t>Michal Shur-Ofry</w:t>
      </w:r>
      <w:r w:rsidRPr="00D101B4">
        <w:rPr>
          <w:rFonts w:asciiTheme="minorHAnsi" w:hAnsiTheme="minorHAnsi"/>
          <w:sz w:val="21"/>
          <w:szCs w:val="21"/>
          <w:lang w:val="en"/>
        </w:rPr>
        <w:t>, Professor, Faculty of Law, Hebrew University of Jerusalem</w:t>
      </w:r>
    </w:p>
    <w:p w14:paraId="36BB7273" w14:textId="77777777" w:rsidR="00D101B4" w:rsidRPr="00D101B4" w:rsidRDefault="00D101B4" w:rsidP="00D101B4">
      <w:pPr>
        <w:pStyle w:val="NormalWeb"/>
        <w:keepNext/>
        <w:spacing w:before="0" w:beforeAutospacing="0" w:after="0" w:afterAutospacing="0"/>
        <w:ind w:left="2160"/>
        <w:jc w:val="both"/>
        <w:rPr>
          <w:rFonts w:asciiTheme="minorHAnsi" w:hAnsiTheme="minorHAnsi"/>
          <w:sz w:val="21"/>
          <w:szCs w:val="21"/>
          <w:lang w:val="en"/>
        </w:rPr>
      </w:pPr>
      <w:r w:rsidRPr="00D101B4">
        <w:rPr>
          <w:rFonts w:asciiTheme="minorHAnsi" w:hAnsiTheme="minorHAnsi"/>
          <w:i/>
          <w:sz w:val="21"/>
          <w:szCs w:val="21"/>
          <w:lang w:val="en"/>
        </w:rPr>
        <w:t xml:space="preserve">Connect the Dots: </w:t>
      </w:r>
      <w:proofErr w:type="spellStart"/>
      <w:r w:rsidRPr="00D101B4">
        <w:rPr>
          <w:rFonts w:asciiTheme="minorHAnsi" w:hAnsiTheme="minorHAnsi"/>
          <w:i/>
          <w:sz w:val="21"/>
          <w:szCs w:val="21"/>
          <w:lang w:val="en"/>
        </w:rPr>
        <w:t>Interdisciplinarity</w:t>
      </w:r>
      <w:proofErr w:type="spellEnd"/>
      <w:r w:rsidRPr="00D101B4">
        <w:rPr>
          <w:rFonts w:asciiTheme="minorHAnsi" w:hAnsiTheme="minorHAnsi"/>
          <w:i/>
          <w:sz w:val="21"/>
          <w:szCs w:val="21"/>
          <w:lang w:val="en"/>
        </w:rPr>
        <w:t xml:space="preserve"> and Patent Doctrine</w:t>
      </w:r>
    </w:p>
    <w:p w14:paraId="75DAA913" w14:textId="246DC1DD" w:rsidR="00DF0345" w:rsidRPr="00B87C57" w:rsidRDefault="00DF0345" w:rsidP="00DF0345">
      <w:pPr>
        <w:spacing w:after="60" w:line="240" w:lineRule="auto"/>
        <w:ind w:left="1985"/>
        <w:rPr>
          <w:szCs w:val="21"/>
        </w:rPr>
      </w:pPr>
    </w:p>
    <w:p w14:paraId="609521B5" w14:textId="757E5760" w:rsidR="00DF0345" w:rsidRPr="00823CE0" w:rsidRDefault="00DF0345" w:rsidP="00DF0345">
      <w:pPr>
        <w:spacing w:after="0" w:line="240" w:lineRule="auto"/>
        <w:rPr>
          <w:szCs w:val="21"/>
          <w:lang w:val="en-US"/>
        </w:rPr>
      </w:pPr>
      <w:r w:rsidRPr="00823CE0">
        <w:rPr>
          <w:szCs w:val="21"/>
          <w:lang w:val="en-US"/>
        </w:rPr>
        <w:t>5:</w:t>
      </w:r>
      <w:r w:rsidR="00823CE0" w:rsidRPr="00823CE0">
        <w:rPr>
          <w:szCs w:val="21"/>
          <w:lang w:val="en-US"/>
        </w:rPr>
        <w:t>30</w:t>
      </w:r>
      <w:r w:rsidRPr="00823CE0">
        <w:rPr>
          <w:szCs w:val="21"/>
          <w:lang w:val="en-US"/>
        </w:rPr>
        <w:tab/>
      </w:r>
      <w:r w:rsidRPr="00823CE0">
        <w:rPr>
          <w:szCs w:val="21"/>
          <w:lang w:val="en-US"/>
        </w:rPr>
        <w:tab/>
      </w:r>
      <w:proofErr w:type="gramStart"/>
      <w:r w:rsidR="00F92EDF" w:rsidRPr="00823CE0">
        <w:rPr>
          <w:b/>
          <w:szCs w:val="21"/>
          <w:lang w:val="en-US"/>
        </w:rPr>
        <w:t>Cl</w:t>
      </w:r>
      <w:r w:rsidRPr="00823CE0">
        <w:rPr>
          <w:b/>
          <w:szCs w:val="21"/>
          <w:lang w:val="en-US"/>
        </w:rPr>
        <w:t>osing</w:t>
      </w:r>
      <w:proofErr w:type="gramEnd"/>
      <w:r w:rsidRPr="00823CE0">
        <w:rPr>
          <w:b/>
          <w:szCs w:val="21"/>
          <w:lang w:val="en-US"/>
        </w:rPr>
        <w:t xml:space="preserve"> remarks</w:t>
      </w:r>
    </w:p>
    <w:p w14:paraId="3A2E0E26" w14:textId="77777777" w:rsidR="00D101B4" w:rsidRPr="00823CE0" w:rsidRDefault="00D101B4" w:rsidP="00DF0345">
      <w:pPr>
        <w:tabs>
          <w:tab w:val="left" w:pos="720"/>
          <w:tab w:val="left" w:pos="1440"/>
          <w:tab w:val="left" w:pos="2160"/>
          <w:tab w:val="left" w:pos="2880"/>
          <w:tab w:val="left" w:pos="3600"/>
          <w:tab w:val="left" w:pos="4320"/>
          <w:tab w:val="left" w:pos="4860"/>
        </w:tabs>
        <w:spacing w:after="60" w:line="240" w:lineRule="auto"/>
        <w:ind w:left="1985"/>
        <w:rPr>
          <w:szCs w:val="21"/>
          <w:lang w:val="en-US"/>
        </w:rPr>
      </w:pPr>
    </w:p>
    <w:p w14:paraId="543AF47E" w14:textId="4FAF9D3F" w:rsidR="00DF0345" w:rsidRPr="00DC3779" w:rsidRDefault="00D101B4" w:rsidP="00DF0345">
      <w:pPr>
        <w:tabs>
          <w:tab w:val="left" w:pos="720"/>
          <w:tab w:val="left" w:pos="1440"/>
          <w:tab w:val="left" w:pos="2160"/>
          <w:tab w:val="left" w:pos="2880"/>
          <w:tab w:val="left" w:pos="3600"/>
          <w:tab w:val="left" w:pos="4320"/>
          <w:tab w:val="left" w:pos="4860"/>
        </w:tabs>
        <w:spacing w:after="60" w:line="240" w:lineRule="auto"/>
        <w:ind w:left="1985"/>
        <w:rPr>
          <w:szCs w:val="21"/>
          <w:lang w:val="en-US"/>
        </w:rPr>
      </w:pPr>
      <w:r w:rsidRPr="00F92EDF">
        <w:rPr>
          <w:b/>
          <w:szCs w:val="21"/>
          <w:lang w:val="en-US"/>
        </w:rPr>
        <w:t>Pierre-</w:t>
      </w:r>
      <w:r w:rsidR="00F92EDF" w:rsidRPr="00F92EDF">
        <w:rPr>
          <w:b/>
          <w:szCs w:val="21"/>
          <w:lang w:val="en-US"/>
        </w:rPr>
        <w:t>Emmanuel Moyse</w:t>
      </w:r>
      <w:r w:rsidR="00F92EDF">
        <w:rPr>
          <w:szCs w:val="21"/>
          <w:lang w:val="en-US"/>
        </w:rPr>
        <w:t>, Professor, Director, McGill Centre for Intellectual Property, McGill Faculty of Law</w:t>
      </w:r>
    </w:p>
    <w:p w14:paraId="0691C9DC" w14:textId="77777777" w:rsidR="00D101B4" w:rsidRDefault="00D101B4" w:rsidP="00DF0345">
      <w:pPr>
        <w:tabs>
          <w:tab w:val="left" w:pos="720"/>
          <w:tab w:val="left" w:pos="1440"/>
          <w:tab w:val="left" w:pos="2160"/>
          <w:tab w:val="left" w:pos="2685"/>
        </w:tabs>
        <w:spacing w:after="60" w:line="240" w:lineRule="auto"/>
        <w:rPr>
          <w:szCs w:val="21"/>
          <w:lang w:val="en-US"/>
        </w:rPr>
      </w:pPr>
    </w:p>
    <w:p w14:paraId="74C27A82" w14:textId="33C688C1" w:rsidR="00DF0345" w:rsidRPr="005C38C4" w:rsidRDefault="00823CE0" w:rsidP="00DF0345">
      <w:pPr>
        <w:tabs>
          <w:tab w:val="left" w:pos="720"/>
          <w:tab w:val="left" w:pos="1440"/>
          <w:tab w:val="left" w:pos="2160"/>
          <w:tab w:val="left" w:pos="2685"/>
        </w:tabs>
        <w:spacing w:after="60" w:line="240" w:lineRule="auto"/>
        <w:rPr>
          <w:szCs w:val="21"/>
          <w:lang w:val="en-US"/>
        </w:rPr>
      </w:pPr>
      <w:r>
        <w:rPr>
          <w:szCs w:val="21"/>
          <w:lang w:val="en-US"/>
        </w:rPr>
        <w:t>6</w:t>
      </w:r>
      <w:r w:rsidR="00DF0345" w:rsidRPr="005C38C4">
        <w:rPr>
          <w:szCs w:val="21"/>
          <w:lang w:val="en-US"/>
        </w:rPr>
        <w:t>:</w:t>
      </w:r>
      <w:r>
        <w:rPr>
          <w:szCs w:val="21"/>
          <w:lang w:val="en-US"/>
        </w:rPr>
        <w:t>00</w:t>
      </w:r>
      <w:r w:rsidR="00DF0345" w:rsidRPr="005C38C4">
        <w:rPr>
          <w:szCs w:val="21"/>
          <w:lang w:val="en-US"/>
        </w:rPr>
        <w:t>–7:00</w:t>
      </w:r>
      <w:r w:rsidR="00DF0345" w:rsidRPr="005C38C4">
        <w:rPr>
          <w:szCs w:val="21"/>
          <w:lang w:val="en-US"/>
        </w:rPr>
        <w:tab/>
      </w:r>
      <w:r w:rsidR="00DF0345" w:rsidRPr="005C38C4">
        <w:rPr>
          <w:b/>
          <w:szCs w:val="21"/>
          <w:lang w:val="en-US"/>
        </w:rPr>
        <w:t>Cocktail</w:t>
      </w:r>
      <w:r w:rsidR="00DF0345" w:rsidRPr="005C38C4">
        <w:rPr>
          <w:b/>
          <w:szCs w:val="21"/>
          <w:lang w:val="en-US"/>
        </w:rPr>
        <w:tab/>
      </w:r>
    </w:p>
    <w:p w14:paraId="02B097CD" w14:textId="77777777" w:rsidR="00DF0345" w:rsidRDefault="00DF0345">
      <w:pPr>
        <w:spacing w:line="259" w:lineRule="auto"/>
        <w:rPr>
          <w:szCs w:val="21"/>
          <w:lang w:val="en-US"/>
        </w:rPr>
      </w:pPr>
    </w:p>
    <w:p w14:paraId="02B7B6B2" w14:textId="21F99EDE" w:rsidR="00DF0345" w:rsidRDefault="00DF0345">
      <w:pPr>
        <w:spacing w:line="259" w:lineRule="auto"/>
        <w:rPr>
          <w:szCs w:val="21"/>
          <w:lang w:val="en-US"/>
        </w:rPr>
      </w:pPr>
    </w:p>
    <w:p w14:paraId="27D8908C" w14:textId="77777777" w:rsidR="00D101B4" w:rsidRDefault="00D101B4">
      <w:pPr>
        <w:spacing w:line="259" w:lineRule="auto"/>
        <w:rPr>
          <w:b/>
          <w:sz w:val="28"/>
          <w:szCs w:val="28"/>
        </w:rPr>
      </w:pPr>
      <w:r>
        <w:rPr>
          <w:b/>
          <w:sz w:val="28"/>
          <w:szCs w:val="28"/>
        </w:rPr>
        <w:br w:type="page"/>
      </w:r>
    </w:p>
    <w:p w14:paraId="715EAE3E" w14:textId="61140633" w:rsidR="006F49FB" w:rsidRPr="00AE0F6D" w:rsidRDefault="00DF0345" w:rsidP="00110FF4">
      <w:pPr>
        <w:spacing w:after="0" w:line="240" w:lineRule="auto"/>
        <w:rPr>
          <w:b/>
        </w:rPr>
      </w:pPr>
      <w:r>
        <w:rPr>
          <w:b/>
          <w:sz w:val="28"/>
          <w:szCs w:val="28"/>
        </w:rPr>
        <w:lastRenderedPageBreak/>
        <w:t xml:space="preserve">Topics and </w:t>
      </w:r>
      <w:r w:rsidR="00460E55">
        <w:rPr>
          <w:b/>
          <w:sz w:val="28"/>
          <w:szCs w:val="28"/>
        </w:rPr>
        <w:t>s</w:t>
      </w:r>
      <w:r w:rsidR="00BC72A6" w:rsidRPr="00AE0F6D">
        <w:rPr>
          <w:b/>
          <w:sz w:val="28"/>
          <w:szCs w:val="28"/>
        </w:rPr>
        <w:t>peaker</w:t>
      </w:r>
      <w:r>
        <w:rPr>
          <w:b/>
          <w:sz w:val="28"/>
          <w:szCs w:val="28"/>
        </w:rPr>
        <w:t xml:space="preserve"> </w:t>
      </w:r>
      <w:r w:rsidR="00460E55">
        <w:rPr>
          <w:b/>
          <w:sz w:val="28"/>
          <w:szCs w:val="28"/>
        </w:rPr>
        <w:t>b</w:t>
      </w:r>
      <w:r>
        <w:rPr>
          <w:b/>
          <w:sz w:val="28"/>
          <w:szCs w:val="28"/>
        </w:rPr>
        <w:t>iographies</w:t>
      </w:r>
    </w:p>
    <w:p w14:paraId="7BFDAD3F" w14:textId="77777777" w:rsidR="006F49FB" w:rsidRPr="00AE0F6D" w:rsidRDefault="006F49FB" w:rsidP="00110FF4">
      <w:pPr>
        <w:spacing w:after="0" w:line="240" w:lineRule="auto"/>
        <w:jc w:val="both"/>
        <w:rPr>
          <w:b/>
          <w:szCs w:val="21"/>
        </w:rPr>
      </w:pPr>
    </w:p>
    <w:p w14:paraId="7294A25D" w14:textId="4ED51F88" w:rsidR="001F4124" w:rsidRDefault="001F4124" w:rsidP="005A402B">
      <w:pPr>
        <w:spacing w:after="0" w:line="240" w:lineRule="auto"/>
        <w:jc w:val="both"/>
        <w:rPr>
          <w:b/>
          <w:szCs w:val="21"/>
        </w:rPr>
      </w:pPr>
      <w:r>
        <w:rPr>
          <w:b/>
          <w:szCs w:val="21"/>
        </w:rPr>
        <w:t xml:space="preserve">Allison Christians, </w:t>
      </w:r>
      <w:r w:rsidR="009717D7">
        <w:rPr>
          <w:b/>
          <w:szCs w:val="21"/>
        </w:rPr>
        <w:t xml:space="preserve">Professor, </w:t>
      </w:r>
      <w:r>
        <w:rPr>
          <w:b/>
          <w:szCs w:val="21"/>
        </w:rPr>
        <w:t xml:space="preserve">Stikeman Chair in Tax Law, </w:t>
      </w:r>
      <w:r w:rsidR="00BE05B1">
        <w:rPr>
          <w:b/>
          <w:szCs w:val="21"/>
        </w:rPr>
        <w:t xml:space="preserve">McGill </w:t>
      </w:r>
      <w:r w:rsidR="009717D7">
        <w:rPr>
          <w:b/>
          <w:szCs w:val="21"/>
        </w:rPr>
        <w:t>Faculty of Law</w:t>
      </w:r>
    </w:p>
    <w:p w14:paraId="706FF688" w14:textId="02FAC1CC" w:rsidR="00300077" w:rsidRPr="00300077" w:rsidRDefault="00412964" w:rsidP="005A402B">
      <w:pPr>
        <w:spacing w:after="0" w:line="240" w:lineRule="auto"/>
        <w:jc w:val="both"/>
        <w:rPr>
          <w:b/>
          <w:i/>
          <w:szCs w:val="21"/>
        </w:rPr>
      </w:pPr>
      <w:r>
        <w:rPr>
          <w:b/>
          <w:i/>
          <w:szCs w:val="21"/>
        </w:rPr>
        <w:t>Public Support for Innovation: A Worthy Investment</w:t>
      </w:r>
      <w:r w:rsidR="008A083F">
        <w:rPr>
          <w:b/>
          <w:i/>
          <w:szCs w:val="21"/>
        </w:rPr>
        <w:t>?</w:t>
      </w:r>
    </w:p>
    <w:p w14:paraId="5035B4B8" w14:textId="0658702E" w:rsidR="003D1547" w:rsidRPr="00110FF4" w:rsidRDefault="00110FF4" w:rsidP="005A402B">
      <w:pPr>
        <w:spacing w:after="0" w:line="240" w:lineRule="auto"/>
        <w:jc w:val="both"/>
        <w:rPr>
          <w:szCs w:val="21"/>
        </w:rPr>
      </w:pPr>
      <w:r>
        <w:rPr>
          <w:szCs w:val="21"/>
        </w:rPr>
        <w:t xml:space="preserve">Allison Christians is the H. </w:t>
      </w:r>
      <w:proofErr w:type="spellStart"/>
      <w:r>
        <w:rPr>
          <w:szCs w:val="21"/>
        </w:rPr>
        <w:t>Heward</w:t>
      </w:r>
      <w:proofErr w:type="spellEnd"/>
      <w:r>
        <w:rPr>
          <w:szCs w:val="21"/>
        </w:rPr>
        <w:t xml:space="preserve"> Stikeman Chair in the Law of Taxation at the McGill University Faculty of Law. Her research and teaching focus on national and international tax law and policy issues, with emphasis on the relationship between taxation and economic development and on the role of government and non-government institutions and actors in the creation of tax policy norms.</w:t>
      </w:r>
      <w:r w:rsidR="003D1547">
        <w:rPr>
          <w:szCs w:val="21"/>
        </w:rPr>
        <w:t xml:space="preserve"> Before entering academia, she practiced tax law at </w:t>
      </w:r>
      <w:proofErr w:type="spellStart"/>
      <w:r w:rsidR="003D1547">
        <w:rPr>
          <w:szCs w:val="21"/>
        </w:rPr>
        <w:t>Watchell</w:t>
      </w:r>
      <w:proofErr w:type="spellEnd"/>
      <w:r w:rsidR="003D1547">
        <w:rPr>
          <w:szCs w:val="21"/>
        </w:rPr>
        <w:t xml:space="preserve">, Lipton, Rosen &amp; Katz in New York, where she focused on the taxation of domestic and cross-border mergers and acquisitions, spin-offs, restructuring and associated issues and transactions involving </w:t>
      </w:r>
      <w:r w:rsidR="00367276">
        <w:rPr>
          <w:szCs w:val="21"/>
        </w:rPr>
        <w:t>private and public comp</w:t>
      </w:r>
      <w:r w:rsidR="0080280A">
        <w:rPr>
          <w:szCs w:val="21"/>
        </w:rPr>
        <w:t>an</w:t>
      </w:r>
      <w:r w:rsidR="00367276">
        <w:rPr>
          <w:szCs w:val="21"/>
        </w:rPr>
        <w:t>i</w:t>
      </w:r>
      <w:r w:rsidR="0080280A">
        <w:rPr>
          <w:szCs w:val="21"/>
        </w:rPr>
        <w:t xml:space="preserve">es, and at </w:t>
      </w:r>
      <w:proofErr w:type="spellStart"/>
      <w:r w:rsidR="0080280A">
        <w:rPr>
          <w:szCs w:val="21"/>
        </w:rPr>
        <w:t>Debevoise</w:t>
      </w:r>
      <w:proofErr w:type="spellEnd"/>
      <w:r w:rsidR="0080280A">
        <w:rPr>
          <w:szCs w:val="21"/>
        </w:rPr>
        <w:t xml:space="preserve"> &amp; Plimpton in New York, where she focused mainly on private equity funds.</w:t>
      </w:r>
    </w:p>
    <w:p w14:paraId="6EB82690" w14:textId="4C5F42A8" w:rsidR="00F57983" w:rsidRPr="005A402B" w:rsidRDefault="00F57983" w:rsidP="005A402B">
      <w:pPr>
        <w:spacing w:before="200" w:after="0" w:line="240" w:lineRule="auto"/>
        <w:jc w:val="both"/>
        <w:rPr>
          <w:b/>
          <w:szCs w:val="21"/>
          <w:lang w:val="fr-CA"/>
        </w:rPr>
      </w:pPr>
      <w:r w:rsidRPr="005A402B">
        <w:rPr>
          <w:b/>
          <w:szCs w:val="21"/>
          <w:lang w:val="fr-CA"/>
        </w:rPr>
        <w:t>Jean-Christophe Galloux, Professeur en droit privé, Université Paris II</w:t>
      </w:r>
    </w:p>
    <w:p w14:paraId="2F3EE5EA" w14:textId="2772389E" w:rsidR="00B947D7" w:rsidRPr="00B947D7" w:rsidRDefault="00B947D7" w:rsidP="005A402B">
      <w:pPr>
        <w:spacing w:after="0" w:line="240" w:lineRule="auto"/>
        <w:jc w:val="both"/>
        <w:rPr>
          <w:b/>
          <w:i/>
          <w:szCs w:val="21"/>
        </w:rPr>
      </w:pPr>
      <w:r>
        <w:rPr>
          <w:b/>
          <w:i/>
          <w:szCs w:val="21"/>
        </w:rPr>
        <w:t>The Social Costs of Innovation: Industrial property a controversial tool?</w:t>
      </w:r>
    </w:p>
    <w:p w14:paraId="73E7FF13" w14:textId="77777777" w:rsidR="00DA0341" w:rsidRPr="00DA0341" w:rsidRDefault="00DA0341" w:rsidP="005A402B">
      <w:pPr>
        <w:spacing w:after="0" w:line="240" w:lineRule="auto"/>
        <w:jc w:val="both"/>
        <w:rPr>
          <w:rFonts w:cs="Helvetica"/>
          <w:szCs w:val="21"/>
          <w:lang w:val="fr-FR"/>
        </w:rPr>
      </w:pPr>
      <w:r w:rsidRPr="00DA0341">
        <w:rPr>
          <w:rFonts w:cs="Helvetica"/>
          <w:szCs w:val="21"/>
          <w:lang w:val="fr-FR"/>
        </w:rPr>
        <w:t xml:space="preserve">Agrégé de droit privé, Jean-Christophe </w:t>
      </w:r>
      <w:proofErr w:type="spellStart"/>
      <w:r w:rsidRPr="00DA0341">
        <w:rPr>
          <w:rFonts w:cs="Helvetica"/>
          <w:szCs w:val="21"/>
          <w:lang w:val="fr-FR"/>
        </w:rPr>
        <w:t>Galloux</w:t>
      </w:r>
      <w:proofErr w:type="spellEnd"/>
      <w:r w:rsidRPr="00DA0341">
        <w:rPr>
          <w:rFonts w:cs="Helvetica"/>
          <w:b/>
          <w:bCs/>
          <w:szCs w:val="21"/>
          <w:lang w:val="fr-FR"/>
        </w:rPr>
        <w:t> </w:t>
      </w:r>
      <w:r w:rsidRPr="00DA0341">
        <w:rPr>
          <w:rFonts w:cs="Helvetica"/>
          <w:szCs w:val="21"/>
          <w:lang w:val="fr-FR"/>
        </w:rPr>
        <w:t xml:space="preserve">est professeur à l’Université Panthéon-Assas (Paris II) dont il dirige le Master professionnel de propriété industrielle. Il a été expert auprès de la Commission européenne et de l’OCDE et est membre du comité scientifique de l’Observatoire de la propriété intellectuelle. Pratiquant par ailleurs le droit de la propriété intellectuelle en qualité d’avocat au Barreau de Paris, il est également médiateur et arbitre. Depuis juin 2009, le Professeur Jean-Christophe </w:t>
      </w:r>
      <w:proofErr w:type="spellStart"/>
      <w:r w:rsidRPr="00DA0341">
        <w:rPr>
          <w:rFonts w:cs="Helvetica"/>
          <w:szCs w:val="21"/>
          <w:lang w:val="fr-FR"/>
        </w:rPr>
        <w:t>Galloux</w:t>
      </w:r>
      <w:proofErr w:type="spellEnd"/>
      <w:r w:rsidRPr="00DA0341">
        <w:rPr>
          <w:rFonts w:cs="Helvetica"/>
          <w:szCs w:val="21"/>
          <w:lang w:val="fr-FR"/>
        </w:rPr>
        <w:t xml:space="preserve"> est co-Président de l’Institut de recherche en propriété intellectuelle (IRPI) et il a été élu en 2013 à l'Académie nationale de pharmacie.</w:t>
      </w:r>
    </w:p>
    <w:p w14:paraId="606D4513" w14:textId="5D5F5941" w:rsidR="00E808D0" w:rsidRPr="005A402B" w:rsidRDefault="00E808D0" w:rsidP="005A402B">
      <w:pPr>
        <w:spacing w:before="200" w:after="0" w:line="240" w:lineRule="auto"/>
        <w:jc w:val="both"/>
        <w:rPr>
          <w:rFonts w:ascii="Calibri" w:eastAsia="Times New Roman" w:hAnsi="Calibri" w:cs="Times New Roman"/>
          <w:b/>
          <w:szCs w:val="21"/>
        </w:rPr>
      </w:pPr>
      <w:r w:rsidRPr="005A402B">
        <w:rPr>
          <w:rFonts w:ascii="Calibri" w:eastAsia="Times New Roman" w:hAnsi="Calibri" w:cs="Times New Roman"/>
          <w:b/>
          <w:szCs w:val="21"/>
        </w:rPr>
        <w:t>Richard Gold</w:t>
      </w:r>
      <w:r w:rsidR="00C50271" w:rsidRPr="005A402B">
        <w:rPr>
          <w:rFonts w:ascii="Calibri" w:eastAsia="Times New Roman" w:hAnsi="Calibri" w:cs="Times New Roman"/>
          <w:b/>
          <w:szCs w:val="21"/>
        </w:rPr>
        <w:t xml:space="preserve">, James McGill Professor, McGill </w:t>
      </w:r>
      <w:r w:rsidR="009717D7">
        <w:rPr>
          <w:rFonts w:ascii="Calibri" w:eastAsia="Times New Roman" w:hAnsi="Calibri" w:cs="Times New Roman"/>
          <w:b/>
          <w:szCs w:val="21"/>
        </w:rPr>
        <w:t>Faculty of Law</w:t>
      </w:r>
    </w:p>
    <w:p w14:paraId="5AFFDD84" w14:textId="77777777" w:rsidR="00E808D0" w:rsidRPr="005A402B" w:rsidRDefault="00E808D0" w:rsidP="005A402B">
      <w:pPr>
        <w:widowControl w:val="0"/>
        <w:autoSpaceDE w:val="0"/>
        <w:autoSpaceDN w:val="0"/>
        <w:adjustRightInd w:val="0"/>
        <w:spacing w:after="0" w:line="240" w:lineRule="auto"/>
        <w:jc w:val="both"/>
        <w:rPr>
          <w:rFonts w:ascii="Calibri" w:hAnsi="Calibri" w:cs="Times New Roman"/>
          <w:b/>
          <w:i/>
          <w:color w:val="2F2A27"/>
          <w:szCs w:val="21"/>
          <w:lang w:val="en-US"/>
        </w:rPr>
      </w:pPr>
      <w:r w:rsidRPr="005A402B">
        <w:rPr>
          <w:rFonts w:ascii="Calibri" w:hAnsi="Calibri" w:cs="Times New Roman"/>
          <w:b/>
          <w:i/>
          <w:color w:val="2F2A27"/>
          <w:szCs w:val="21"/>
          <w:lang w:val="en-US"/>
        </w:rPr>
        <w:t>Predatory IP Law and Canadian Innovation</w:t>
      </w:r>
    </w:p>
    <w:p w14:paraId="24E1F536" w14:textId="7DDBD911" w:rsidR="00E808D0" w:rsidRPr="00B31229" w:rsidRDefault="00E808D0" w:rsidP="005A402B">
      <w:pPr>
        <w:widowControl w:val="0"/>
        <w:autoSpaceDE w:val="0"/>
        <w:autoSpaceDN w:val="0"/>
        <w:adjustRightInd w:val="0"/>
        <w:spacing w:after="0" w:line="240" w:lineRule="auto"/>
        <w:jc w:val="both"/>
        <w:rPr>
          <w:rFonts w:ascii="Calibri" w:eastAsia="MS Mincho" w:hAnsi="Calibri" w:cs="Times New Roman"/>
          <w:szCs w:val="21"/>
          <w:lang w:val="en-US"/>
        </w:rPr>
      </w:pPr>
      <w:r w:rsidRPr="00B31229">
        <w:rPr>
          <w:rFonts w:ascii="Calibri" w:hAnsi="Calibri" w:cs="Times New Roman"/>
          <w:color w:val="2F2A27"/>
          <w:szCs w:val="21"/>
          <w:lang w:val="en-US"/>
        </w:rPr>
        <w:t>A James McGill Professor, Richard Gold was the founding Director of the </w:t>
      </w:r>
      <w:hyperlink r:id="rId10" w:history="1">
        <w:r w:rsidRPr="00B31229">
          <w:rPr>
            <w:rFonts w:ascii="Calibri" w:hAnsi="Calibri" w:cs="Times New Roman"/>
            <w:color w:val="0B4CB4"/>
            <w:szCs w:val="21"/>
            <w:u w:val="single" w:color="0B4CB4"/>
            <w:lang w:val="en-US"/>
          </w:rPr>
          <w:t>Centre for Intellectual Property Policy</w:t>
        </w:r>
      </w:hyperlink>
      <w:r w:rsidRPr="00B31229">
        <w:rPr>
          <w:rFonts w:ascii="Calibri" w:hAnsi="Calibri" w:cs="Times New Roman"/>
          <w:color w:val="2F2A27"/>
          <w:szCs w:val="21"/>
          <w:lang w:val="en-US"/>
        </w:rPr>
        <w:t>. He teaches in the areas of intellectual property, international intellectual property, comparative intellectual property, innovation policy, and intellectual property management. His research generally focuses on the life sciences.</w:t>
      </w:r>
      <w:r>
        <w:rPr>
          <w:rFonts w:ascii="Calibri" w:hAnsi="Calibri" w:cs="Times New Roman"/>
          <w:szCs w:val="21"/>
          <w:lang w:val="en-US"/>
        </w:rPr>
        <w:t xml:space="preserve"> </w:t>
      </w:r>
      <w:r w:rsidRPr="00B31229">
        <w:rPr>
          <w:rFonts w:ascii="Calibri" w:hAnsi="Calibri" w:cs="Times New Roman"/>
          <w:color w:val="2F2A27"/>
          <w:szCs w:val="21"/>
          <w:lang w:val="en-US"/>
        </w:rPr>
        <w:t xml:space="preserve">Professor Gold has provided advice to Health Canada, Innovation, Science and Economic Development Canada, the Canadian Biotechnology Advisory Committee, the Ontario Ministry of Health and Long-Term Care, the </w:t>
      </w:r>
      <w:proofErr w:type="spellStart"/>
      <w:r w:rsidRPr="00B31229">
        <w:rPr>
          <w:rFonts w:ascii="Calibri" w:hAnsi="Calibri" w:cs="Times New Roman"/>
          <w:color w:val="2F2A27"/>
          <w:szCs w:val="21"/>
          <w:lang w:val="en-US"/>
        </w:rPr>
        <w:t>Organisation</w:t>
      </w:r>
      <w:proofErr w:type="spellEnd"/>
      <w:r w:rsidRPr="00B31229">
        <w:rPr>
          <w:rFonts w:ascii="Calibri" w:hAnsi="Calibri" w:cs="Times New Roman"/>
          <w:color w:val="2F2A27"/>
          <w:szCs w:val="21"/>
          <w:lang w:val="en-US"/>
        </w:rPr>
        <w:t xml:space="preserve"> for Economic Co-Operation and Development (where he was the lead author of the OECD Guidelines on the Licensing of Genetic Inventions and a report on Collaborative Mechanisms in Life Science Intellectual Property), the World Health Organization, the World Intellectual Property Organization, and UNITAID.</w:t>
      </w:r>
    </w:p>
    <w:p w14:paraId="381D6600" w14:textId="67F6A830" w:rsidR="00013C01" w:rsidRPr="005A402B" w:rsidRDefault="00D13CF8" w:rsidP="005A402B">
      <w:pPr>
        <w:spacing w:before="200" w:after="0" w:line="240" w:lineRule="auto"/>
        <w:jc w:val="both"/>
        <w:rPr>
          <w:rFonts w:ascii="Calibri" w:eastAsia="Times New Roman" w:hAnsi="Calibri" w:cs="Times New Roman"/>
          <w:b/>
          <w:szCs w:val="21"/>
        </w:rPr>
      </w:pPr>
      <w:r w:rsidRPr="005A402B">
        <w:rPr>
          <w:rFonts w:ascii="Calibri" w:eastAsia="Times New Roman" w:hAnsi="Calibri" w:cs="Times New Roman"/>
          <w:b/>
          <w:szCs w:val="21"/>
        </w:rPr>
        <w:t>Margaret</w:t>
      </w:r>
      <w:r w:rsidR="00DB03ED" w:rsidRPr="005A402B">
        <w:rPr>
          <w:rFonts w:ascii="Calibri" w:eastAsia="Times New Roman" w:hAnsi="Calibri" w:cs="Times New Roman"/>
          <w:b/>
          <w:szCs w:val="21"/>
        </w:rPr>
        <w:t xml:space="preserve"> Graham, </w:t>
      </w:r>
      <w:r w:rsidR="009717D7">
        <w:rPr>
          <w:rFonts w:ascii="Calibri" w:eastAsia="Times New Roman" w:hAnsi="Calibri" w:cs="Times New Roman"/>
          <w:b/>
          <w:szCs w:val="21"/>
        </w:rPr>
        <w:t xml:space="preserve">Professor, </w:t>
      </w:r>
      <w:proofErr w:type="spellStart"/>
      <w:r w:rsidR="00DB03ED" w:rsidRPr="005A402B">
        <w:rPr>
          <w:b/>
          <w:szCs w:val="21"/>
        </w:rPr>
        <w:t>Desautels</w:t>
      </w:r>
      <w:proofErr w:type="spellEnd"/>
      <w:r w:rsidR="00DB03ED" w:rsidRPr="005A402B">
        <w:rPr>
          <w:b/>
          <w:szCs w:val="21"/>
        </w:rPr>
        <w:t xml:space="preserve"> </w:t>
      </w:r>
      <w:r w:rsidR="009717D7">
        <w:rPr>
          <w:b/>
          <w:szCs w:val="21"/>
        </w:rPr>
        <w:t>Faculty</w:t>
      </w:r>
      <w:r w:rsidR="00DB03ED" w:rsidRPr="005A402B">
        <w:rPr>
          <w:b/>
          <w:szCs w:val="21"/>
        </w:rPr>
        <w:t xml:space="preserve"> of Management, McGill University</w:t>
      </w:r>
    </w:p>
    <w:p w14:paraId="5CE1A0E1" w14:textId="5FFA02C0" w:rsidR="00D209ED" w:rsidRPr="005A402B" w:rsidRDefault="00D209ED" w:rsidP="005A402B">
      <w:pPr>
        <w:spacing w:after="0" w:line="240" w:lineRule="auto"/>
        <w:jc w:val="both"/>
        <w:rPr>
          <w:b/>
          <w:i/>
          <w:szCs w:val="21"/>
        </w:rPr>
      </w:pPr>
      <w:r w:rsidRPr="005A402B">
        <w:rPr>
          <w:b/>
          <w:i/>
          <w:szCs w:val="21"/>
        </w:rPr>
        <w:t>The Social Cost of Transactional Thinking: Less Beneficial Technology</w:t>
      </w:r>
    </w:p>
    <w:p w14:paraId="0E942C2B" w14:textId="3D1FB2CA" w:rsidR="006302B4" w:rsidRPr="006302B4" w:rsidRDefault="006302B4" w:rsidP="005A402B">
      <w:pPr>
        <w:spacing w:after="0" w:line="240" w:lineRule="auto"/>
        <w:jc w:val="both"/>
        <w:rPr>
          <w:i/>
          <w:szCs w:val="21"/>
        </w:rPr>
      </w:pPr>
      <w:r w:rsidRPr="006302B4">
        <w:rPr>
          <w:rFonts w:cs="Arial"/>
          <w:szCs w:val="21"/>
        </w:rPr>
        <w:t xml:space="preserve">Margaret B.W. Graham is associate professor of strategy and organization at the </w:t>
      </w:r>
      <w:proofErr w:type="spellStart"/>
      <w:r w:rsidRPr="006302B4">
        <w:rPr>
          <w:rFonts w:cs="Arial"/>
          <w:szCs w:val="21"/>
        </w:rPr>
        <w:t>Desautels</w:t>
      </w:r>
      <w:proofErr w:type="spellEnd"/>
      <w:r w:rsidRPr="006302B4">
        <w:rPr>
          <w:rFonts w:cs="Arial"/>
          <w:szCs w:val="21"/>
        </w:rPr>
        <w:t xml:space="preserve"> Faculty of Management, McGill University. She holds MBA and PhD degrees from Harvard University. Her academic career at Harvard Business School, Boston University, and McGill has been divided between the history and practice of technology-based innovation and entrepreneurship. Her scholarly work is based on in-depth archival study, multi-year fieldwork, and long-term interaction with technology-based companies. Most recently she has published on Intellectual Property and the Professionals and the Political Economy of Corporate Research. As a member of the senior staff at Xerox Palo Alto Research Center in the 1990s she helped manage an advanced research organization focused on inventing the “office of the future”. She is a founding director of The Winthrop Group, Inc. a group of business historians and archivists that assists corporations, foundations, and other organizations to preserve and make use of their experience. Since 1990 she has served as an independent trustee and Chairman of the Governance and Nominating Committee for Pioneer Investments, based in Boston, Massachusetts and owned by the </w:t>
      </w:r>
      <w:proofErr w:type="spellStart"/>
      <w:r w:rsidRPr="006302B4">
        <w:rPr>
          <w:rFonts w:cs="Arial"/>
          <w:szCs w:val="21"/>
        </w:rPr>
        <w:t>UniCredit</w:t>
      </w:r>
      <w:proofErr w:type="spellEnd"/>
      <w:r w:rsidRPr="006302B4">
        <w:rPr>
          <w:rFonts w:cs="Arial"/>
          <w:szCs w:val="21"/>
        </w:rPr>
        <w:t xml:space="preserve"> Bank of Italy. In 2016 she was president of the Business History Conference meeting in Portland, OR.</w:t>
      </w:r>
    </w:p>
    <w:p w14:paraId="6039C4FD" w14:textId="77777777" w:rsidR="00D209ED" w:rsidRPr="00D209ED" w:rsidRDefault="00D209ED" w:rsidP="005A402B">
      <w:pPr>
        <w:spacing w:after="0" w:line="240" w:lineRule="auto"/>
        <w:jc w:val="both"/>
        <w:rPr>
          <w:i/>
          <w:szCs w:val="21"/>
        </w:rPr>
      </w:pPr>
    </w:p>
    <w:p w14:paraId="42FF3DC9" w14:textId="7C9F23C2" w:rsidR="00467ACD" w:rsidRDefault="001F4124" w:rsidP="005A402B">
      <w:pPr>
        <w:spacing w:after="0" w:line="240" w:lineRule="auto"/>
        <w:jc w:val="both"/>
        <w:rPr>
          <w:b/>
          <w:szCs w:val="21"/>
        </w:rPr>
      </w:pPr>
      <w:r>
        <w:rPr>
          <w:b/>
          <w:szCs w:val="21"/>
        </w:rPr>
        <w:lastRenderedPageBreak/>
        <w:t xml:space="preserve">Asa Kling, </w:t>
      </w:r>
      <w:r w:rsidR="009215F1">
        <w:rPr>
          <w:b/>
          <w:szCs w:val="21"/>
        </w:rPr>
        <w:t xml:space="preserve">Director, </w:t>
      </w:r>
      <w:r>
        <w:rPr>
          <w:b/>
          <w:szCs w:val="21"/>
        </w:rPr>
        <w:t>Israel Patent Office</w:t>
      </w:r>
    </w:p>
    <w:p w14:paraId="1BC5B787" w14:textId="37F7CA0D" w:rsidR="006302B4" w:rsidRPr="005A402B" w:rsidRDefault="006302B4" w:rsidP="005A402B">
      <w:pPr>
        <w:spacing w:after="0" w:line="240" w:lineRule="auto"/>
        <w:jc w:val="both"/>
        <w:rPr>
          <w:b/>
          <w:i/>
          <w:spacing w:val="-2"/>
          <w:szCs w:val="21"/>
        </w:rPr>
      </w:pPr>
      <w:r w:rsidRPr="005A402B">
        <w:rPr>
          <w:b/>
          <w:i/>
          <w:spacing w:val="-2"/>
          <w:szCs w:val="21"/>
        </w:rPr>
        <w:t>Perspectives of an IP Regulator: Designing Innovation Instigating Policy while Applying</w:t>
      </w:r>
      <w:r w:rsidR="00740D98" w:rsidRPr="005A402B">
        <w:rPr>
          <w:b/>
          <w:i/>
          <w:spacing w:val="-2"/>
          <w:szCs w:val="21"/>
        </w:rPr>
        <w:t xml:space="preserve"> the Letter of the Law</w:t>
      </w:r>
    </w:p>
    <w:p w14:paraId="78BE30C5" w14:textId="3361E92F" w:rsidR="006302B4" w:rsidRPr="006302B4" w:rsidRDefault="006302B4" w:rsidP="005A402B">
      <w:pPr>
        <w:spacing w:after="0" w:line="240" w:lineRule="auto"/>
        <w:jc w:val="both"/>
        <w:rPr>
          <w:b/>
          <w:szCs w:val="21"/>
        </w:rPr>
      </w:pPr>
      <w:r w:rsidRPr="006302B4">
        <w:rPr>
          <w:rFonts w:cs="Helvetica"/>
          <w:szCs w:val="21"/>
          <w:lang w:val="en-US"/>
        </w:rPr>
        <w:t xml:space="preserve">Mr. Asa Kling entered Office as Director of the Israel Patent Office and Commissioner of Patents, Designs and Trademarks on May 1st, 2011. Mr. Kling led several reforms in the Israel Patent Office promoting transparency and reducing bureaucracy while enhancing international collaborations. Under his guidance, the Israel Patent Office became an International Searching and Preliminary Examination Authority under the Patent Cooperation Treaty in June 2012. Mr. Kling earned his LL.B. from the Tel Aviv University and graduated (magna cum laude) from the lucrative Tel Aviv University, International Executive LL.M. Program in collaboration with UCLA Berkeley. Mr. Kling holds also a B.Sc. in Aerospace Engineering from the </w:t>
      </w:r>
      <w:proofErr w:type="spellStart"/>
      <w:r w:rsidRPr="006302B4">
        <w:rPr>
          <w:rFonts w:cs="Helvetica"/>
          <w:szCs w:val="21"/>
          <w:lang w:val="en-US"/>
        </w:rPr>
        <w:t>Technion</w:t>
      </w:r>
      <w:proofErr w:type="spellEnd"/>
      <w:r w:rsidRPr="006302B4">
        <w:rPr>
          <w:rFonts w:cs="Helvetica"/>
          <w:szCs w:val="21"/>
          <w:lang w:val="en-US"/>
        </w:rPr>
        <w:t xml:space="preserve"> – Israel Institute for Technology, Haifa. As an Attorney at Law and a Patent Attorney, he practiced commercial law as a partner in a leading intellectual property law firm focusing on patent litigation, licensing and antitrust issues.</w:t>
      </w:r>
    </w:p>
    <w:p w14:paraId="7FCE4BA6" w14:textId="77777777" w:rsidR="00F57983" w:rsidRPr="002943C1" w:rsidRDefault="00F57983" w:rsidP="005A402B">
      <w:pPr>
        <w:pStyle w:val="NormalWeb"/>
        <w:spacing w:before="0" w:beforeAutospacing="0" w:after="0" w:afterAutospacing="0"/>
        <w:jc w:val="both"/>
        <w:rPr>
          <w:rFonts w:asciiTheme="minorHAnsi" w:hAnsiTheme="minorHAnsi"/>
          <w:sz w:val="21"/>
          <w:szCs w:val="21"/>
          <w:lang w:val="en"/>
        </w:rPr>
      </w:pPr>
    </w:p>
    <w:p w14:paraId="18247493" w14:textId="40849B07" w:rsidR="002943C1" w:rsidRPr="002943C1" w:rsidRDefault="00E926C4" w:rsidP="002943C1">
      <w:pPr>
        <w:spacing w:after="0" w:line="240" w:lineRule="auto"/>
        <w:jc w:val="both"/>
        <w:rPr>
          <w:b/>
          <w:szCs w:val="21"/>
          <w:u w:val="single"/>
          <w:lang w:val="fr-CA"/>
        </w:rPr>
      </w:pPr>
      <w:proofErr w:type="spellStart"/>
      <w:r w:rsidRPr="002943C1">
        <w:rPr>
          <w:b/>
          <w:szCs w:val="21"/>
          <w:lang w:val="fr-CA"/>
        </w:rPr>
        <w:t>E</w:t>
      </w:r>
      <w:r w:rsidR="00C50271" w:rsidRPr="002943C1">
        <w:rPr>
          <w:b/>
          <w:szCs w:val="21"/>
          <w:lang w:val="fr-CA"/>
        </w:rPr>
        <w:t>ve</w:t>
      </w:r>
      <w:proofErr w:type="spellEnd"/>
      <w:r w:rsidR="00C50271" w:rsidRPr="002943C1">
        <w:rPr>
          <w:b/>
          <w:szCs w:val="21"/>
          <w:lang w:val="fr-CA"/>
        </w:rPr>
        <w:t xml:space="preserve"> S</w:t>
      </w:r>
      <w:r w:rsidRPr="002943C1">
        <w:rPr>
          <w:b/>
          <w:szCs w:val="21"/>
          <w:lang w:val="fr-CA"/>
        </w:rPr>
        <w:t>e</w:t>
      </w:r>
      <w:r w:rsidR="00C50271" w:rsidRPr="002943C1">
        <w:rPr>
          <w:b/>
          <w:szCs w:val="21"/>
          <w:lang w:val="fr-CA"/>
        </w:rPr>
        <w:t>guin</w:t>
      </w:r>
      <w:r w:rsidR="00AA1B73" w:rsidRPr="002943C1">
        <w:rPr>
          <w:b/>
          <w:szCs w:val="21"/>
          <w:lang w:val="fr-CA"/>
        </w:rPr>
        <w:t>, Professeur</w:t>
      </w:r>
      <w:r w:rsidR="007A5156" w:rsidRPr="002943C1">
        <w:rPr>
          <w:b/>
          <w:szCs w:val="21"/>
          <w:lang w:val="fr-CA"/>
        </w:rPr>
        <w:t>e</w:t>
      </w:r>
      <w:r w:rsidR="00AA1B73" w:rsidRPr="002943C1">
        <w:rPr>
          <w:b/>
          <w:szCs w:val="21"/>
          <w:lang w:val="fr-CA"/>
        </w:rPr>
        <w:t xml:space="preserve">, </w:t>
      </w:r>
      <w:r w:rsidR="00280921" w:rsidRPr="002943C1">
        <w:rPr>
          <w:b/>
          <w:szCs w:val="21"/>
          <w:lang w:val="fr-CA"/>
        </w:rPr>
        <w:t xml:space="preserve">Département de science politique, </w:t>
      </w:r>
      <w:r w:rsidR="00AA1B73" w:rsidRPr="002943C1">
        <w:rPr>
          <w:b/>
          <w:szCs w:val="21"/>
          <w:lang w:val="fr-CA"/>
        </w:rPr>
        <w:t>UQ</w:t>
      </w:r>
      <w:r w:rsidR="002943C1" w:rsidRPr="002943C1">
        <w:rPr>
          <w:b/>
          <w:szCs w:val="21"/>
          <w:lang w:val="fr-CA"/>
        </w:rPr>
        <w:t>ÀM</w:t>
      </w:r>
    </w:p>
    <w:p w14:paraId="1902504C" w14:textId="37606214" w:rsidR="00380BDB" w:rsidRPr="005A402B" w:rsidRDefault="00F12A6D" w:rsidP="005A402B">
      <w:pPr>
        <w:pStyle w:val="NormalWeb"/>
        <w:keepNext/>
        <w:spacing w:before="0" w:beforeAutospacing="0" w:after="0" w:afterAutospacing="0"/>
        <w:jc w:val="both"/>
        <w:rPr>
          <w:rFonts w:asciiTheme="minorHAnsi" w:hAnsiTheme="minorHAnsi"/>
          <w:b/>
          <w:i/>
          <w:sz w:val="21"/>
          <w:szCs w:val="21"/>
          <w:lang w:val="fr-CA"/>
        </w:rPr>
      </w:pPr>
      <w:r w:rsidRPr="005A402B">
        <w:rPr>
          <w:rFonts w:asciiTheme="minorHAnsi" w:hAnsiTheme="minorHAnsi"/>
          <w:b/>
          <w:i/>
          <w:sz w:val="21"/>
          <w:szCs w:val="21"/>
          <w:lang w:val="fr-CA"/>
        </w:rPr>
        <w:t>L’innovation au prisme des rapports de pouvoir</w:t>
      </w:r>
    </w:p>
    <w:p w14:paraId="74BE95CF" w14:textId="55C6C626" w:rsidR="00AA1B73" w:rsidRPr="00AA1B73" w:rsidRDefault="00E926C4" w:rsidP="005A402B">
      <w:pPr>
        <w:widowControl w:val="0"/>
        <w:autoSpaceDE w:val="0"/>
        <w:autoSpaceDN w:val="0"/>
        <w:adjustRightInd w:val="0"/>
        <w:spacing w:after="0" w:line="240" w:lineRule="auto"/>
        <w:jc w:val="both"/>
        <w:rPr>
          <w:rFonts w:ascii="Calibri" w:hAnsi="Calibri" w:cs="Helvetica"/>
          <w:szCs w:val="21"/>
          <w:lang w:val="fr-CA"/>
        </w:rPr>
      </w:pPr>
      <w:proofErr w:type="spellStart"/>
      <w:r>
        <w:rPr>
          <w:rFonts w:ascii="Calibri" w:hAnsi="Calibri" w:cs="Helvetica"/>
          <w:szCs w:val="21"/>
          <w:lang w:val="fr-CA"/>
        </w:rPr>
        <w:t>E</w:t>
      </w:r>
      <w:r w:rsidR="00AA1B73" w:rsidRPr="00AA1B73">
        <w:rPr>
          <w:rFonts w:ascii="Calibri" w:hAnsi="Calibri" w:cs="Helvetica"/>
          <w:szCs w:val="21"/>
          <w:lang w:val="fr-CA"/>
        </w:rPr>
        <w:t>ve</w:t>
      </w:r>
      <w:proofErr w:type="spellEnd"/>
      <w:r w:rsidR="00AA1B73" w:rsidRPr="00AA1B73">
        <w:rPr>
          <w:rFonts w:ascii="Calibri" w:hAnsi="Calibri" w:cs="Helvetica"/>
          <w:szCs w:val="21"/>
          <w:lang w:val="fr-CA"/>
        </w:rPr>
        <w:t xml:space="preserve"> S</w:t>
      </w:r>
      <w:r>
        <w:rPr>
          <w:rFonts w:ascii="Calibri" w:hAnsi="Calibri" w:cs="Helvetica"/>
          <w:szCs w:val="21"/>
          <w:lang w:val="fr-CA"/>
        </w:rPr>
        <w:t>e</w:t>
      </w:r>
      <w:r w:rsidR="00AA1B73" w:rsidRPr="00AA1B73">
        <w:rPr>
          <w:rFonts w:ascii="Calibri" w:hAnsi="Calibri" w:cs="Helvetica"/>
          <w:szCs w:val="21"/>
          <w:lang w:val="fr-CA"/>
        </w:rPr>
        <w:t xml:space="preserve">guin détient un doctorat en sciences politiques et sociales de l’Université de Londres (Royaume-Uni). Spécialiste du rapport entre politique et sciences, elle est professeure de science politique et d’études sociales sur les sciences et les technologies à l’UQAM. Ses recherches portent sur les théories politiques des sciences, l’expertise scientifique et les politiques publiques, les controverses technoscientifiques publiques, le </w:t>
      </w:r>
      <w:proofErr w:type="spellStart"/>
      <w:r w:rsidR="00AA1B73" w:rsidRPr="00AA1B73">
        <w:rPr>
          <w:rFonts w:ascii="Calibri" w:hAnsi="Calibri" w:cs="Helvetica"/>
          <w:szCs w:val="21"/>
          <w:lang w:val="fr-CA"/>
        </w:rPr>
        <w:t>mobbing</w:t>
      </w:r>
      <w:proofErr w:type="spellEnd"/>
      <w:r w:rsidR="00AA1B73" w:rsidRPr="00AA1B73">
        <w:rPr>
          <w:rFonts w:ascii="Calibri" w:hAnsi="Calibri" w:cs="Helvetica"/>
          <w:szCs w:val="21"/>
          <w:lang w:val="fr-CA"/>
        </w:rPr>
        <w:t xml:space="preserve"> académique, et l’interface État/sciences/technologies.</w:t>
      </w:r>
    </w:p>
    <w:p w14:paraId="68633B8A" w14:textId="77777777" w:rsidR="00C50271" w:rsidRPr="005A402B" w:rsidRDefault="00C50271" w:rsidP="005A402B">
      <w:pPr>
        <w:pStyle w:val="NormalWeb"/>
        <w:keepNext/>
        <w:spacing w:before="0" w:beforeAutospacing="0" w:after="0" w:afterAutospacing="0"/>
        <w:jc w:val="both"/>
        <w:rPr>
          <w:rFonts w:asciiTheme="minorHAnsi" w:hAnsiTheme="minorHAnsi"/>
          <w:b/>
          <w:sz w:val="21"/>
          <w:szCs w:val="21"/>
          <w:lang w:val="fr-CA"/>
        </w:rPr>
      </w:pPr>
    </w:p>
    <w:p w14:paraId="2839165E" w14:textId="5DEFD480" w:rsidR="00F57983" w:rsidRDefault="00F57983" w:rsidP="005A402B">
      <w:pPr>
        <w:pStyle w:val="NormalWeb"/>
        <w:keepNext/>
        <w:spacing w:before="0" w:beforeAutospacing="0" w:after="0" w:afterAutospacing="0"/>
        <w:jc w:val="both"/>
        <w:rPr>
          <w:rFonts w:asciiTheme="minorHAnsi" w:hAnsiTheme="minorHAnsi"/>
          <w:b/>
          <w:sz w:val="21"/>
          <w:szCs w:val="21"/>
          <w:lang w:val="en"/>
        </w:rPr>
      </w:pPr>
      <w:r>
        <w:rPr>
          <w:rFonts w:asciiTheme="minorHAnsi" w:hAnsiTheme="minorHAnsi"/>
          <w:b/>
          <w:sz w:val="21"/>
          <w:szCs w:val="21"/>
          <w:lang w:val="en"/>
        </w:rPr>
        <w:t xml:space="preserve">Michal Shur-Ofry, Professor, </w:t>
      </w:r>
      <w:r w:rsidR="00CA29BC">
        <w:rPr>
          <w:rFonts w:asciiTheme="minorHAnsi" w:hAnsiTheme="minorHAnsi"/>
          <w:b/>
          <w:sz w:val="21"/>
          <w:szCs w:val="21"/>
          <w:lang w:val="en"/>
        </w:rPr>
        <w:t xml:space="preserve">Faculty of Law, </w:t>
      </w:r>
      <w:r>
        <w:rPr>
          <w:rFonts w:asciiTheme="minorHAnsi" w:hAnsiTheme="minorHAnsi"/>
          <w:b/>
          <w:sz w:val="21"/>
          <w:szCs w:val="21"/>
          <w:lang w:val="en"/>
        </w:rPr>
        <w:t>Hebrew University</w:t>
      </w:r>
      <w:r w:rsidR="00CA29BC">
        <w:rPr>
          <w:rFonts w:asciiTheme="minorHAnsi" w:hAnsiTheme="minorHAnsi"/>
          <w:b/>
          <w:sz w:val="21"/>
          <w:szCs w:val="21"/>
          <w:lang w:val="en"/>
        </w:rPr>
        <w:t xml:space="preserve"> of Jerusalem</w:t>
      </w:r>
    </w:p>
    <w:p w14:paraId="07B11352" w14:textId="17BAFA64" w:rsidR="00B947D7" w:rsidRDefault="0083790F" w:rsidP="005A402B">
      <w:pPr>
        <w:pStyle w:val="NormalWeb"/>
        <w:keepNext/>
        <w:spacing w:before="0" w:beforeAutospacing="0" w:after="0" w:afterAutospacing="0"/>
        <w:jc w:val="both"/>
        <w:rPr>
          <w:rFonts w:asciiTheme="minorHAnsi" w:hAnsiTheme="minorHAnsi"/>
          <w:b/>
          <w:sz w:val="21"/>
          <w:szCs w:val="21"/>
          <w:lang w:val="en"/>
        </w:rPr>
      </w:pPr>
      <w:r w:rsidRPr="0083790F">
        <w:rPr>
          <w:rFonts w:asciiTheme="minorHAnsi" w:hAnsiTheme="minorHAnsi"/>
          <w:b/>
          <w:i/>
          <w:sz w:val="21"/>
          <w:szCs w:val="21"/>
          <w:lang w:val="en"/>
        </w:rPr>
        <w:t>Connect</w:t>
      </w:r>
      <w:r>
        <w:rPr>
          <w:rFonts w:asciiTheme="minorHAnsi" w:hAnsiTheme="minorHAnsi"/>
          <w:b/>
          <w:i/>
          <w:sz w:val="21"/>
          <w:szCs w:val="21"/>
          <w:lang w:val="en"/>
        </w:rPr>
        <w:t xml:space="preserve"> the Dots: </w:t>
      </w:r>
      <w:proofErr w:type="spellStart"/>
      <w:r>
        <w:rPr>
          <w:rFonts w:asciiTheme="minorHAnsi" w:hAnsiTheme="minorHAnsi"/>
          <w:b/>
          <w:i/>
          <w:sz w:val="21"/>
          <w:szCs w:val="21"/>
          <w:lang w:val="en"/>
        </w:rPr>
        <w:t>Interdisciplinarity</w:t>
      </w:r>
      <w:proofErr w:type="spellEnd"/>
      <w:r>
        <w:rPr>
          <w:rFonts w:asciiTheme="minorHAnsi" w:hAnsiTheme="minorHAnsi"/>
          <w:b/>
          <w:i/>
          <w:sz w:val="21"/>
          <w:szCs w:val="21"/>
          <w:lang w:val="en"/>
        </w:rPr>
        <w:t xml:space="preserve"> and Patent Doctrine</w:t>
      </w:r>
    </w:p>
    <w:p w14:paraId="7B870FC1" w14:textId="67102281" w:rsidR="00346E62" w:rsidRPr="00346E62" w:rsidRDefault="00346E62" w:rsidP="005A402B">
      <w:pPr>
        <w:spacing w:line="280" w:lineRule="exact"/>
        <w:jc w:val="both"/>
        <w:rPr>
          <w:rFonts w:ascii="Calibri" w:hAnsi="Calibri" w:cs="Arial"/>
          <w:szCs w:val="21"/>
        </w:rPr>
      </w:pPr>
      <w:r w:rsidRPr="00346E62">
        <w:rPr>
          <w:rFonts w:ascii="Calibri" w:hAnsi="Calibri" w:cs="Arial"/>
          <w:szCs w:val="21"/>
        </w:rPr>
        <w:t xml:space="preserve">Michal Shur-Ofry is a faculty member (senior lecturer) at the Hebrew University of Jerusalem law faculty, where she teaches several courses and seminars in the area of intellectual property law. She received her LL.B. (magna cum laude) and Ph.D. from the Hebrew University of Jerusalem and her LL.M. (merit) from University College London, as a </w:t>
      </w:r>
      <w:proofErr w:type="spellStart"/>
      <w:r w:rsidRPr="00346E62">
        <w:rPr>
          <w:rFonts w:ascii="Calibri" w:hAnsi="Calibri" w:cs="Arial"/>
          <w:szCs w:val="21"/>
        </w:rPr>
        <w:t>Chevening</w:t>
      </w:r>
      <w:proofErr w:type="spellEnd"/>
      <w:r w:rsidRPr="00346E62">
        <w:rPr>
          <w:rFonts w:ascii="Calibri" w:hAnsi="Calibri" w:cs="Arial"/>
          <w:szCs w:val="21"/>
        </w:rPr>
        <w:t>–</w:t>
      </w:r>
      <w:proofErr w:type="spellStart"/>
      <w:r w:rsidRPr="00346E62">
        <w:rPr>
          <w:rFonts w:ascii="Calibri" w:hAnsi="Calibri" w:cs="Arial"/>
          <w:szCs w:val="21"/>
        </w:rPr>
        <w:t>Sainer</w:t>
      </w:r>
      <w:proofErr w:type="spellEnd"/>
      <w:r w:rsidRPr="00346E62">
        <w:rPr>
          <w:rFonts w:ascii="Calibri" w:hAnsi="Calibri" w:cs="Arial"/>
          <w:szCs w:val="21"/>
        </w:rPr>
        <w:t xml:space="preserve"> scholar. Michal’s research focuses on intellectual property law and innovation theory. She is also interested in the interrelations between law and networks, and her scholarship uses insights from the theory of complex systems to examine, explain and challenge various legal rules and conceptual frameworks. She has authored several articles and one book in these areas. Before joining the Hebrew University law faculty in 2013, Michal was a partner and the head of IP in a prominent law firm in Israel.</w:t>
      </w:r>
    </w:p>
    <w:p w14:paraId="1A0D6C02" w14:textId="77777777" w:rsidR="00F57983" w:rsidRDefault="00F57983" w:rsidP="00110FF4">
      <w:pPr>
        <w:pStyle w:val="NormalWeb"/>
        <w:spacing w:before="0" w:beforeAutospacing="0" w:after="0" w:afterAutospacing="0"/>
        <w:jc w:val="both"/>
        <w:rPr>
          <w:rFonts w:asciiTheme="minorHAnsi" w:hAnsiTheme="minorHAnsi"/>
          <w:b/>
          <w:sz w:val="21"/>
          <w:szCs w:val="21"/>
          <w:lang w:val="en"/>
        </w:rPr>
      </w:pPr>
    </w:p>
    <w:p w14:paraId="5D948130" w14:textId="77777777" w:rsidR="00CA29BC" w:rsidRPr="00F57983" w:rsidRDefault="00CA29BC" w:rsidP="00110FF4">
      <w:pPr>
        <w:pStyle w:val="NormalWeb"/>
        <w:spacing w:before="0" w:beforeAutospacing="0" w:after="0" w:afterAutospacing="0"/>
        <w:jc w:val="both"/>
        <w:rPr>
          <w:rFonts w:asciiTheme="minorHAnsi" w:hAnsiTheme="minorHAnsi"/>
          <w:b/>
          <w:sz w:val="21"/>
          <w:szCs w:val="21"/>
          <w:lang w:val="en"/>
        </w:rPr>
      </w:pPr>
    </w:p>
    <w:p w14:paraId="2FE1F082" w14:textId="39A312B0" w:rsidR="00162AC2" w:rsidRDefault="00CA29BC" w:rsidP="00CA29BC">
      <w:pPr>
        <w:spacing w:after="0" w:line="240" w:lineRule="auto"/>
        <w:jc w:val="both"/>
        <w:rPr>
          <w:i/>
          <w:sz w:val="20"/>
          <w:szCs w:val="20"/>
          <w:lang w:val="en-US"/>
        </w:rPr>
      </w:pPr>
      <w:r w:rsidRPr="00CA29BC">
        <w:rPr>
          <w:b/>
          <w:i/>
          <w:sz w:val="20"/>
          <w:szCs w:val="20"/>
          <w:lang w:val="en-US"/>
        </w:rPr>
        <w:t>Conference collaborators</w:t>
      </w:r>
      <w:r>
        <w:rPr>
          <w:i/>
          <w:sz w:val="20"/>
          <w:szCs w:val="20"/>
          <w:lang w:val="en-US"/>
        </w:rPr>
        <w:t>:</w:t>
      </w:r>
      <w:r w:rsidR="003210F7" w:rsidRPr="00AE0F6D">
        <w:rPr>
          <w:i/>
          <w:sz w:val="20"/>
          <w:szCs w:val="20"/>
          <w:lang w:val="en-US"/>
        </w:rPr>
        <w:t xml:space="preserve"> </w:t>
      </w:r>
      <w:r>
        <w:rPr>
          <w:i/>
          <w:sz w:val="20"/>
          <w:szCs w:val="20"/>
          <w:lang w:val="en-US"/>
        </w:rPr>
        <w:t>T</w:t>
      </w:r>
      <w:r w:rsidR="003210F7" w:rsidRPr="00AE0F6D">
        <w:rPr>
          <w:i/>
          <w:sz w:val="20"/>
          <w:szCs w:val="20"/>
          <w:lang w:val="en-US"/>
        </w:rPr>
        <w:t xml:space="preserve">he </w:t>
      </w:r>
      <w:r w:rsidR="00824E04" w:rsidRPr="00AE0F6D">
        <w:rPr>
          <w:i/>
          <w:sz w:val="20"/>
          <w:szCs w:val="20"/>
          <w:lang w:val="en-US"/>
        </w:rPr>
        <w:t xml:space="preserve">McGill Centre for Intellectual Property Policy </w:t>
      </w:r>
      <w:r w:rsidR="00986A05" w:rsidRPr="00AE0F6D">
        <w:rPr>
          <w:i/>
          <w:sz w:val="20"/>
          <w:szCs w:val="20"/>
          <w:lang w:val="en-US"/>
        </w:rPr>
        <w:t>(</w:t>
      </w:r>
      <w:hyperlink r:id="rId11" w:history="1">
        <w:r w:rsidRPr="008C7BEC">
          <w:rPr>
            <w:rStyle w:val="Hyperlink"/>
            <w:i/>
            <w:sz w:val="20"/>
            <w:szCs w:val="20"/>
            <w:lang w:val="en-US"/>
          </w:rPr>
          <w:t>www.cippmcgill.ca</w:t>
        </w:r>
      </w:hyperlink>
      <w:r w:rsidR="00986A05" w:rsidRPr="00AE0F6D">
        <w:rPr>
          <w:i/>
          <w:sz w:val="20"/>
          <w:szCs w:val="20"/>
          <w:lang w:val="en-US"/>
        </w:rPr>
        <w:t>)</w:t>
      </w:r>
      <w:r w:rsidR="00824E04" w:rsidRPr="00AE0F6D">
        <w:rPr>
          <w:i/>
          <w:sz w:val="20"/>
          <w:szCs w:val="20"/>
          <w:lang w:val="en-US"/>
        </w:rPr>
        <w:t xml:space="preserve">, </w:t>
      </w:r>
      <w:r w:rsidR="00BC506D">
        <w:rPr>
          <w:i/>
          <w:sz w:val="20"/>
          <w:szCs w:val="20"/>
          <w:lang w:val="en-US"/>
        </w:rPr>
        <w:t xml:space="preserve">the </w:t>
      </w:r>
      <w:r w:rsidR="000A0D7F">
        <w:rPr>
          <w:i/>
          <w:sz w:val="20"/>
          <w:szCs w:val="20"/>
          <w:lang w:val="en-US"/>
        </w:rPr>
        <w:t xml:space="preserve">Consulate General of </w:t>
      </w:r>
      <w:r w:rsidR="00BC506D">
        <w:rPr>
          <w:i/>
          <w:sz w:val="20"/>
          <w:szCs w:val="20"/>
          <w:lang w:val="en-US"/>
        </w:rPr>
        <w:t>Israel</w:t>
      </w:r>
      <w:r w:rsidR="00824E04" w:rsidRPr="00AE0F6D">
        <w:rPr>
          <w:i/>
          <w:sz w:val="20"/>
          <w:szCs w:val="20"/>
          <w:lang w:val="en-US"/>
        </w:rPr>
        <w:t xml:space="preserve"> </w:t>
      </w:r>
      <w:r w:rsidR="00986A05" w:rsidRPr="00AE0F6D">
        <w:rPr>
          <w:i/>
          <w:sz w:val="20"/>
          <w:szCs w:val="20"/>
          <w:lang w:val="en-US"/>
        </w:rPr>
        <w:t>(</w:t>
      </w:r>
      <w:hyperlink r:id="rId12" w:history="1">
        <w:r w:rsidR="00B75117" w:rsidRPr="00867A49">
          <w:rPr>
            <w:rStyle w:val="Hyperlink"/>
            <w:i/>
            <w:sz w:val="20"/>
            <w:szCs w:val="20"/>
            <w:lang w:val="en-US"/>
          </w:rPr>
          <w:t>www.embassies.gov.il</w:t>
        </w:r>
      </w:hyperlink>
      <w:r w:rsidR="00986A05" w:rsidRPr="00AE0F6D">
        <w:rPr>
          <w:i/>
          <w:sz w:val="20"/>
          <w:szCs w:val="20"/>
          <w:lang w:val="en-US"/>
        </w:rPr>
        <w:t xml:space="preserve">), </w:t>
      </w:r>
      <w:r w:rsidR="00BC506D">
        <w:rPr>
          <w:i/>
          <w:sz w:val="20"/>
          <w:szCs w:val="20"/>
          <w:lang w:val="en-US"/>
        </w:rPr>
        <w:t>the</w:t>
      </w:r>
      <w:r w:rsidR="00986A05" w:rsidRPr="00AE0F6D">
        <w:rPr>
          <w:i/>
          <w:sz w:val="20"/>
          <w:szCs w:val="20"/>
          <w:lang w:val="en-US"/>
        </w:rPr>
        <w:t xml:space="preserve"> </w:t>
      </w:r>
      <w:r w:rsidR="00BC506D">
        <w:rPr>
          <w:i/>
          <w:sz w:val="20"/>
          <w:szCs w:val="20"/>
          <w:lang w:val="en-US"/>
        </w:rPr>
        <w:t>Lord Reading Law Society</w:t>
      </w:r>
      <w:r w:rsidR="00986A05" w:rsidRPr="00AE0F6D">
        <w:rPr>
          <w:i/>
          <w:sz w:val="20"/>
          <w:szCs w:val="20"/>
          <w:lang w:val="en-US"/>
        </w:rPr>
        <w:t xml:space="preserve"> (</w:t>
      </w:r>
      <w:hyperlink r:id="rId13" w:history="1">
        <w:r w:rsidR="005A4083" w:rsidRPr="00867A49">
          <w:rPr>
            <w:rStyle w:val="Hyperlink"/>
            <w:i/>
            <w:sz w:val="20"/>
            <w:szCs w:val="20"/>
            <w:lang w:val="en-US"/>
          </w:rPr>
          <w:t>www.lordreading.org</w:t>
        </w:r>
      </w:hyperlink>
      <w:r w:rsidR="00986A05" w:rsidRPr="00AE0F6D">
        <w:rPr>
          <w:i/>
          <w:sz w:val="20"/>
          <w:szCs w:val="20"/>
          <w:lang w:val="en-US"/>
        </w:rPr>
        <w:t>)</w:t>
      </w:r>
      <w:r w:rsidR="00ED2428" w:rsidRPr="00AE0F6D">
        <w:rPr>
          <w:i/>
          <w:sz w:val="20"/>
          <w:szCs w:val="20"/>
          <w:lang w:val="en-US"/>
        </w:rPr>
        <w:t xml:space="preserve">, </w:t>
      </w:r>
      <w:r w:rsidR="00BC506D">
        <w:rPr>
          <w:i/>
          <w:sz w:val="20"/>
          <w:szCs w:val="20"/>
          <w:lang w:val="en-US"/>
        </w:rPr>
        <w:t xml:space="preserve">the Centre de </w:t>
      </w:r>
      <w:proofErr w:type="spellStart"/>
      <w:r w:rsidR="00BC506D">
        <w:rPr>
          <w:i/>
          <w:sz w:val="20"/>
          <w:szCs w:val="20"/>
          <w:lang w:val="en-US"/>
        </w:rPr>
        <w:t>recherche</w:t>
      </w:r>
      <w:proofErr w:type="spellEnd"/>
      <w:r w:rsidR="00BC506D">
        <w:rPr>
          <w:i/>
          <w:sz w:val="20"/>
          <w:szCs w:val="20"/>
          <w:lang w:val="en-US"/>
        </w:rPr>
        <w:t xml:space="preserve"> </w:t>
      </w:r>
      <w:proofErr w:type="spellStart"/>
      <w:r w:rsidR="00BC506D">
        <w:rPr>
          <w:i/>
          <w:sz w:val="20"/>
          <w:szCs w:val="20"/>
          <w:lang w:val="en-US"/>
        </w:rPr>
        <w:t>en</w:t>
      </w:r>
      <w:proofErr w:type="spellEnd"/>
      <w:r w:rsidR="00BC506D">
        <w:rPr>
          <w:i/>
          <w:sz w:val="20"/>
          <w:szCs w:val="20"/>
          <w:lang w:val="en-US"/>
        </w:rPr>
        <w:t xml:space="preserve"> droit public de </w:t>
      </w:r>
      <w:proofErr w:type="spellStart"/>
      <w:r w:rsidR="00BC506D">
        <w:rPr>
          <w:i/>
          <w:sz w:val="20"/>
          <w:szCs w:val="20"/>
          <w:lang w:val="en-US"/>
        </w:rPr>
        <w:t>l’Université</w:t>
      </w:r>
      <w:proofErr w:type="spellEnd"/>
      <w:r w:rsidR="00BC506D">
        <w:rPr>
          <w:i/>
          <w:sz w:val="20"/>
          <w:szCs w:val="20"/>
          <w:lang w:val="en-US"/>
        </w:rPr>
        <w:t xml:space="preserve"> de Montréal (</w:t>
      </w:r>
      <w:hyperlink r:id="rId14" w:history="1">
        <w:r w:rsidR="00BC506D" w:rsidRPr="00867A49">
          <w:rPr>
            <w:rStyle w:val="Hyperlink"/>
            <w:i/>
            <w:sz w:val="20"/>
            <w:szCs w:val="20"/>
            <w:lang w:val="en-US"/>
          </w:rPr>
          <w:t>www.crdp.umontreal.ca</w:t>
        </w:r>
      </w:hyperlink>
      <w:r w:rsidR="00BC506D">
        <w:rPr>
          <w:i/>
          <w:sz w:val="20"/>
          <w:szCs w:val="20"/>
          <w:lang w:val="en-US"/>
        </w:rPr>
        <w:t>)</w:t>
      </w:r>
      <w:r w:rsidR="00ED2428" w:rsidRPr="00AE0F6D">
        <w:rPr>
          <w:i/>
          <w:sz w:val="20"/>
          <w:szCs w:val="20"/>
          <w:lang w:val="en-US"/>
        </w:rPr>
        <w:t>,</w:t>
      </w:r>
      <w:r w:rsidR="00BC506D">
        <w:rPr>
          <w:i/>
          <w:sz w:val="20"/>
          <w:szCs w:val="20"/>
          <w:lang w:val="en-US"/>
        </w:rPr>
        <w:t xml:space="preserve"> the LR Wilson</w:t>
      </w:r>
      <w:r>
        <w:rPr>
          <w:i/>
          <w:sz w:val="20"/>
          <w:szCs w:val="20"/>
          <w:lang w:val="en-US"/>
        </w:rPr>
        <w:t xml:space="preserve"> Chair</w:t>
      </w:r>
      <w:r w:rsidR="00BC506D">
        <w:rPr>
          <w:i/>
          <w:sz w:val="20"/>
          <w:szCs w:val="20"/>
          <w:lang w:val="en-US"/>
        </w:rPr>
        <w:t xml:space="preserve"> (</w:t>
      </w:r>
      <w:hyperlink r:id="rId15" w:history="1">
        <w:r w:rsidR="00B75117" w:rsidRPr="00867A49">
          <w:rPr>
            <w:rStyle w:val="Hyperlink"/>
            <w:i/>
            <w:sz w:val="20"/>
            <w:szCs w:val="20"/>
            <w:lang w:val="en-US"/>
          </w:rPr>
          <w:t>www.chairelrwilson.ca</w:t>
        </w:r>
      </w:hyperlink>
      <w:r w:rsidR="00BC506D">
        <w:rPr>
          <w:i/>
          <w:sz w:val="20"/>
          <w:szCs w:val="20"/>
          <w:lang w:val="en-US"/>
        </w:rPr>
        <w:t>)</w:t>
      </w:r>
      <w:r w:rsidR="00B75117">
        <w:rPr>
          <w:i/>
          <w:sz w:val="20"/>
          <w:szCs w:val="20"/>
          <w:lang w:val="en-US"/>
        </w:rPr>
        <w:t xml:space="preserve">, the Centre </w:t>
      </w:r>
      <w:proofErr w:type="spellStart"/>
      <w:r w:rsidR="00B75117">
        <w:rPr>
          <w:i/>
          <w:sz w:val="20"/>
          <w:szCs w:val="20"/>
          <w:lang w:val="en-US"/>
        </w:rPr>
        <w:t>d’entreprises</w:t>
      </w:r>
      <w:proofErr w:type="spellEnd"/>
      <w:r w:rsidR="00B75117">
        <w:rPr>
          <w:i/>
          <w:sz w:val="20"/>
          <w:szCs w:val="20"/>
          <w:lang w:val="en-US"/>
        </w:rPr>
        <w:t xml:space="preserve"> et </w:t>
      </w:r>
      <w:proofErr w:type="spellStart"/>
      <w:r w:rsidR="00B75117">
        <w:rPr>
          <w:i/>
          <w:sz w:val="20"/>
          <w:szCs w:val="20"/>
          <w:lang w:val="en-US"/>
        </w:rPr>
        <w:t>d’innovation</w:t>
      </w:r>
      <w:proofErr w:type="spellEnd"/>
      <w:r w:rsidR="00B75117">
        <w:rPr>
          <w:i/>
          <w:sz w:val="20"/>
          <w:szCs w:val="20"/>
          <w:lang w:val="en-US"/>
        </w:rPr>
        <w:t xml:space="preserve"> de Montréal (</w:t>
      </w:r>
      <w:hyperlink r:id="rId16" w:history="1">
        <w:r w:rsidR="00B75117" w:rsidRPr="00867A49">
          <w:rPr>
            <w:rStyle w:val="Hyperlink"/>
            <w:i/>
            <w:sz w:val="20"/>
            <w:szCs w:val="20"/>
            <w:lang w:val="en-US"/>
          </w:rPr>
          <w:t>www.ceim.org/</w:t>
        </w:r>
      </w:hyperlink>
      <w:r w:rsidR="00B75117">
        <w:rPr>
          <w:i/>
          <w:sz w:val="20"/>
          <w:szCs w:val="20"/>
          <w:lang w:val="en-US"/>
        </w:rPr>
        <w:t>)</w:t>
      </w:r>
      <w:r w:rsidR="00086279">
        <w:rPr>
          <w:i/>
          <w:sz w:val="20"/>
          <w:szCs w:val="20"/>
          <w:lang w:val="en-US"/>
        </w:rPr>
        <w:t>, and Fasken Martineau</w:t>
      </w:r>
      <w:r w:rsidR="00603572">
        <w:rPr>
          <w:i/>
          <w:sz w:val="20"/>
          <w:szCs w:val="20"/>
          <w:lang w:val="en-US"/>
        </w:rPr>
        <w:t xml:space="preserve"> (</w:t>
      </w:r>
      <w:hyperlink r:id="rId17" w:history="1">
        <w:r w:rsidR="00603572" w:rsidRPr="00867A49">
          <w:rPr>
            <w:rStyle w:val="Hyperlink"/>
            <w:i/>
            <w:sz w:val="20"/>
            <w:szCs w:val="20"/>
            <w:lang w:val="en-US"/>
          </w:rPr>
          <w:t>www.fasken.com</w:t>
        </w:r>
      </w:hyperlink>
      <w:r w:rsidR="00603572" w:rsidRPr="00603572">
        <w:rPr>
          <w:i/>
          <w:sz w:val="20"/>
          <w:szCs w:val="20"/>
          <w:lang w:val="en-US"/>
        </w:rPr>
        <w:t>)</w:t>
      </w:r>
      <w:r w:rsidR="00603572">
        <w:rPr>
          <w:i/>
          <w:sz w:val="20"/>
          <w:szCs w:val="20"/>
          <w:lang w:val="en-US"/>
        </w:rPr>
        <w:t xml:space="preserve">. </w:t>
      </w:r>
    </w:p>
    <w:p w14:paraId="501BF812" w14:textId="77777777" w:rsidR="002943C1" w:rsidRDefault="002943C1" w:rsidP="00CA29BC">
      <w:pPr>
        <w:spacing w:after="0" w:line="240" w:lineRule="auto"/>
        <w:jc w:val="both"/>
        <w:rPr>
          <w:i/>
          <w:sz w:val="20"/>
          <w:szCs w:val="20"/>
          <w:lang w:val="en-US"/>
        </w:rPr>
      </w:pPr>
    </w:p>
    <w:p w14:paraId="5C08B3BD" w14:textId="6CE940E7" w:rsidR="002943C1" w:rsidRDefault="00BB39E1" w:rsidP="00CA29BC">
      <w:pPr>
        <w:spacing w:after="0" w:line="240" w:lineRule="auto"/>
        <w:jc w:val="both"/>
        <w:rPr>
          <w:sz w:val="20"/>
          <w:szCs w:val="20"/>
          <w:lang w:val="en-US"/>
        </w:rPr>
      </w:pPr>
      <w:r>
        <w:rPr>
          <w:noProof/>
          <w:color w:val="000000"/>
          <w:lang w:val="fr-CA" w:eastAsia="fr-CA"/>
        </w:rPr>
        <w:drawing>
          <wp:inline distT="0" distB="0" distL="0" distR="0" wp14:anchorId="18D51C45" wp14:editId="42AA5137">
            <wp:extent cx="1373174"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194" cy="470471"/>
                    </a:xfrm>
                    <a:prstGeom prst="rect">
                      <a:avLst/>
                    </a:prstGeom>
                    <a:noFill/>
                    <a:ln>
                      <a:noFill/>
                    </a:ln>
                  </pic:spPr>
                </pic:pic>
              </a:graphicData>
            </a:graphic>
          </wp:inline>
        </w:drawing>
      </w:r>
      <w:r w:rsidR="00746861">
        <w:rPr>
          <w:sz w:val="20"/>
          <w:szCs w:val="20"/>
          <w:lang w:val="en-US"/>
        </w:rPr>
        <w:tab/>
      </w:r>
      <w:r w:rsidR="0063011E">
        <w:rPr>
          <w:rFonts w:ascii="Arial" w:hAnsi="Arial" w:cs="Arial"/>
          <w:b/>
          <w:bCs/>
          <w:noProof/>
          <w:color w:val="FF0000"/>
          <w:sz w:val="2"/>
          <w:szCs w:val="2"/>
          <w:lang w:val="fr-CA" w:eastAsia="fr-CA"/>
        </w:rPr>
        <w:drawing>
          <wp:inline distT="0" distB="0" distL="0" distR="0" wp14:anchorId="3F62C52E" wp14:editId="383FBF7B">
            <wp:extent cx="361950" cy="428625"/>
            <wp:effectExtent l="0" t="0" r="0" b="9525"/>
            <wp:docPr id="4" name="Picture 4" descr="http://embassies.gov.il/mfa_Graphics/header/se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l" descr="http://embassies.gov.il/mfa_Graphics/header/seme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r w:rsidR="0063011E">
        <w:rPr>
          <w:sz w:val="20"/>
          <w:szCs w:val="20"/>
          <w:lang w:val="en-US"/>
        </w:rPr>
        <w:t xml:space="preserve">  </w:t>
      </w:r>
      <w:r w:rsidR="0063011E">
        <w:rPr>
          <w:noProof/>
          <w:lang w:val="fr-CA" w:eastAsia="fr-CA"/>
        </w:rPr>
        <w:drawing>
          <wp:inline distT="0" distB="0" distL="0" distR="0" wp14:anchorId="26B77E54" wp14:editId="5FD370FC">
            <wp:extent cx="1476375" cy="330013"/>
            <wp:effectExtent l="0" t="0" r="0" b="0"/>
            <wp:docPr id="2" name="Picture 2" descr="http://embassies.gov.il/mfa_Graphics/header/israel_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tle" descr="http://embassies.gov.il/mfa_Graphics/header/israel_logo_titl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0370" cy="333141"/>
                    </a:xfrm>
                    <a:prstGeom prst="rect">
                      <a:avLst/>
                    </a:prstGeom>
                    <a:noFill/>
                    <a:ln>
                      <a:noFill/>
                    </a:ln>
                  </pic:spPr>
                </pic:pic>
              </a:graphicData>
            </a:graphic>
          </wp:inline>
        </w:drawing>
      </w:r>
      <w:r w:rsidR="00746861">
        <w:rPr>
          <w:sz w:val="20"/>
          <w:szCs w:val="20"/>
          <w:lang w:val="en-US"/>
        </w:rPr>
        <w:tab/>
        <w:t xml:space="preserve"> </w:t>
      </w:r>
      <w:r>
        <w:rPr>
          <w:rFonts w:ascii="Georgia" w:hAnsi="Georgia" w:cs="Arial"/>
          <w:noProof/>
          <w:color w:val="753625"/>
          <w:sz w:val="18"/>
          <w:szCs w:val="18"/>
          <w:lang w:val="fr-CA" w:eastAsia="fr-CA"/>
        </w:rPr>
        <w:drawing>
          <wp:inline distT="0" distB="0" distL="0" distR="0" wp14:anchorId="1DCCE8EC" wp14:editId="25FB47C1">
            <wp:extent cx="1438275" cy="464285"/>
            <wp:effectExtent l="0" t="0" r="0" b="0"/>
            <wp:docPr id="5" name="Picture 5" descr="http://www.lordreading.org/web/img/common/logo.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rdreading.org/web/img/common/logo.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825" cy="488350"/>
                    </a:xfrm>
                    <a:prstGeom prst="rect">
                      <a:avLst/>
                    </a:prstGeom>
                    <a:noFill/>
                    <a:ln>
                      <a:noFill/>
                    </a:ln>
                  </pic:spPr>
                </pic:pic>
              </a:graphicData>
            </a:graphic>
          </wp:inline>
        </w:drawing>
      </w:r>
    </w:p>
    <w:p w14:paraId="28C49A9E" w14:textId="77777777" w:rsidR="00BB39E1" w:rsidRDefault="00BB39E1" w:rsidP="00CA29BC">
      <w:pPr>
        <w:spacing w:after="0" w:line="240" w:lineRule="auto"/>
        <w:jc w:val="both"/>
        <w:rPr>
          <w:sz w:val="20"/>
          <w:szCs w:val="20"/>
          <w:lang w:val="en-US"/>
        </w:rPr>
      </w:pPr>
    </w:p>
    <w:p w14:paraId="3859D8AE" w14:textId="627955CF" w:rsidR="00BB39E1" w:rsidRPr="002943C1" w:rsidRDefault="00BB39E1" w:rsidP="00CA29BC">
      <w:pPr>
        <w:spacing w:after="0" w:line="240" w:lineRule="auto"/>
        <w:jc w:val="both"/>
        <w:rPr>
          <w:sz w:val="20"/>
          <w:szCs w:val="20"/>
          <w:lang w:val="en-US"/>
        </w:rPr>
      </w:pPr>
      <w:r>
        <w:rPr>
          <w:noProof/>
          <w:szCs w:val="21"/>
          <w:lang w:val="fr-CA" w:eastAsia="fr-CA"/>
        </w:rPr>
        <w:drawing>
          <wp:inline distT="0" distB="0" distL="0" distR="0" wp14:anchorId="1B29CFD3" wp14:editId="1F0D66C3">
            <wp:extent cx="1219200" cy="590550"/>
            <wp:effectExtent l="0" t="0" r="0" b="0"/>
            <wp:docPr id="9" name="Picture 9" descr="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2734" cy="597106"/>
                    </a:xfrm>
                    <a:prstGeom prst="rect">
                      <a:avLst/>
                    </a:prstGeom>
                    <a:noFill/>
                    <a:ln>
                      <a:noFill/>
                    </a:ln>
                  </pic:spPr>
                </pic:pic>
              </a:graphicData>
            </a:graphic>
          </wp:inline>
        </w:drawing>
      </w:r>
      <w:r w:rsidR="00746861">
        <w:rPr>
          <w:sz w:val="20"/>
          <w:szCs w:val="20"/>
          <w:lang w:val="en-US"/>
        </w:rPr>
        <w:tab/>
        <w:t xml:space="preserve">     </w:t>
      </w:r>
      <w:r>
        <w:rPr>
          <w:noProof/>
          <w:sz w:val="20"/>
          <w:szCs w:val="20"/>
          <w:lang w:val="fr-CA" w:eastAsia="fr-CA"/>
        </w:rPr>
        <w:drawing>
          <wp:inline distT="0" distB="0" distL="0" distR="0" wp14:anchorId="346F5804" wp14:editId="349A7F08">
            <wp:extent cx="1019175" cy="593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2307" cy="629775"/>
                    </a:xfrm>
                    <a:prstGeom prst="rect">
                      <a:avLst/>
                    </a:prstGeom>
                    <a:noFill/>
                    <a:ln>
                      <a:noFill/>
                    </a:ln>
                  </pic:spPr>
                </pic:pic>
              </a:graphicData>
            </a:graphic>
          </wp:inline>
        </w:drawing>
      </w:r>
      <w:r w:rsidR="00746861">
        <w:rPr>
          <w:sz w:val="20"/>
          <w:szCs w:val="20"/>
          <w:lang w:val="en-US"/>
        </w:rPr>
        <w:tab/>
      </w:r>
      <w:r w:rsidR="009A0B72">
        <w:rPr>
          <w:sz w:val="20"/>
          <w:szCs w:val="20"/>
          <w:lang w:val="en-US"/>
        </w:rPr>
        <w:t xml:space="preserve">   </w:t>
      </w:r>
      <w:r>
        <w:rPr>
          <w:noProof/>
          <w:szCs w:val="21"/>
          <w:lang w:val="fr-CA" w:eastAsia="fr-CA"/>
        </w:rPr>
        <w:drawing>
          <wp:inline distT="0" distB="0" distL="0" distR="0" wp14:anchorId="704514C2" wp14:editId="0AD29639">
            <wp:extent cx="1057275" cy="444233"/>
            <wp:effectExtent l="0" t="0" r="0" b="0"/>
            <wp:docPr id="11" name="Picture 11" descr="CEIM-cou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IM-cour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3662" cy="459522"/>
                    </a:xfrm>
                    <a:prstGeom prst="rect">
                      <a:avLst/>
                    </a:prstGeom>
                    <a:noFill/>
                    <a:ln>
                      <a:noFill/>
                    </a:ln>
                  </pic:spPr>
                </pic:pic>
              </a:graphicData>
            </a:graphic>
          </wp:inline>
        </w:drawing>
      </w:r>
      <w:r w:rsidR="00746861">
        <w:rPr>
          <w:sz w:val="20"/>
          <w:szCs w:val="20"/>
          <w:lang w:val="en-US"/>
        </w:rPr>
        <w:tab/>
      </w:r>
      <w:r w:rsidR="009A0B72">
        <w:rPr>
          <w:sz w:val="20"/>
          <w:szCs w:val="20"/>
          <w:lang w:val="en-US"/>
        </w:rPr>
        <w:t xml:space="preserve">   </w:t>
      </w:r>
      <w:r>
        <w:rPr>
          <w:rFonts w:ascii="Arial" w:hAnsi="Arial" w:cs="Arial"/>
          <w:noProof/>
          <w:color w:val="666699"/>
          <w:sz w:val="18"/>
          <w:szCs w:val="18"/>
          <w:lang w:val="fr-CA" w:eastAsia="fr-CA"/>
        </w:rPr>
        <w:drawing>
          <wp:inline distT="0" distB="0" distL="0" distR="0" wp14:anchorId="63914057" wp14:editId="1BEFEF98">
            <wp:extent cx="1619250" cy="358861"/>
            <wp:effectExtent l="0" t="0" r="0" b="3175"/>
            <wp:docPr id="1" name="Picture 1" descr="http://www.fasken.com/files/ImageControl/e2c0ee64-1ba6-4f0c-a079-09f51447b5d0/7483b893-e478-44a4-8fed-f49aa917d8cf/Presentation/Image/logo.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_ciHeaderLogo" descr="http://www.fasken.com/files/ImageControl/e2c0ee64-1ba6-4f0c-a079-09f51447b5d0/7483b893-e478-44a4-8fed-f49aa917d8cf/Presentation/Image/logo.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7044" cy="360588"/>
                    </a:xfrm>
                    <a:prstGeom prst="rect">
                      <a:avLst/>
                    </a:prstGeom>
                    <a:noFill/>
                    <a:ln>
                      <a:noFill/>
                    </a:ln>
                  </pic:spPr>
                </pic:pic>
              </a:graphicData>
            </a:graphic>
          </wp:inline>
        </w:drawing>
      </w:r>
    </w:p>
    <w:sectPr w:rsidR="00BB39E1" w:rsidRPr="002943C1" w:rsidSect="00DF0345">
      <w:headerReference w:type="default" r:id="rId28"/>
      <w:headerReference w:type="first" r:id="rId29"/>
      <w:footerReference w:type="first" r:id="rId30"/>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E5A5" w14:textId="77777777" w:rsidR="000F1AF2" w:rsidRDefault="000F1AF2" w:rsidP="00BC72A6">
      <w:pPr>
        <w:spacing w:after="0" w:line="240" w:lineRule="auto"/>
      </w:pPr>
      <w:r>
        <w:separator/>
      </w:r>
    </w:p>
  </w:endnote>
  <w:endnote w:type="continuationSeparator" w:id="0">
    <w:p w14:paraId="102B6A28" w14:textId="77777777" w:rsidR="000F1AF2" w:rsidRDefault="000F1AF2" w:rsidP="00BC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C084" w14:textId="658E196F" w:rsidR="00D13CF8" w:rsidRDefault="00D13CF8" w:rsidP="00ED24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59E6E" w14:textId="77777777" w:rsidR="000F1AF2" w:rsidRDefault="000F1AF2" w:rsidP="00BC72A6">
      <w:pPr>
        <w:spacing w:after="0" w:line="240" w:lineRule="auto"/>
      </w:pPr>
      <w:r>
        <w:separator/>
      </w:r>
    </w:p>
  </w:footnote>
  <w:footnote w:type="continuationSeparator" w:id="0">
    <w:p w14:paraId="2A516BC1" w14:textId="77777777" w:rsidR="000F1AF2" w:rsidRDefault="000F1AF2" w:rsidP="00BC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3073" w14:textId="38EAA5DE" w:rsidR="00D13CF8" w:rsidRDefault="00D13CF8" w:rsidP="00424C98">
    <w:pPr>
      <w:pStyle w:val="Header"/>
      <w:jc w:val="both"/>
    </w:pPr>
    <w:r>
      <w:tab/>
    </w:r>
    <w:r>
      <w:tab/>
    </w:r>
  </w:p>
  <w:p w14:paraId="5CEAAB4E" w14:textId="77777777" w:rsidR="00D13CF8" w:rsidRDefault="00D13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EE0F" w14:textId="15BECF63" w:rsidR="00D13CF8" w:rsidRDefault="00D13CF8" w:rsidP="00424C98">
    <w:pPr>
      <w:pStyle w:val="Header"/>
    </w:pPr>
    <w:r w:rsidRPr="00424C98">
      <w:object w:dxaOrig="8025" w:dyaOrig="2730" w14:anchorId="5300F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1.75pt" o:ole="">
          <v:imagedata r:id="rId1" o:title=""/>
        </v:shape>
        <o:OLEObject Type="Embed" ProgID="AcroExch.Document.11" ShapeID="_x0000_i1025" DrawAspect="Content" ObjectID="_1538215648" r:id="rId2"/>
      </w:objec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D599A"/>
    <w:multiLevelType w:val="hybridMultilevel"/>
    <w:tmpl w:val="C01A185C"/>
    <w:lvl w:ilvl="0" w:tplc="B00AF63A">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CF4"/>
    <w:rsid w:val="0001125E"/>
    <w:rsid w:val="00013C01"/>
    <w:rsid w:val="00015C4C"/>
    <w:rsid w:val="00022609"/>
    <w:rsid w:val="000302A2"/>
    <w:rsid w:val="00044473"/>
    <w:rsid w:val="00044638"/>
    <w:rsid w:val="00085419"/>
    <w:rsid w:val="00086279"/>
    <w:rsid w:val="000A0D7F"/>
    <w:rsid w:val="000A1CF3"/>
    <w:rsid w:val="000A3E90"/>
    <w:rsid w:val="000C081B"/>
    <w:rsid w:val="000E2D2B"/>
    <w:rsid w:val="000F1AF2"/>
    <w:rsid w:val="000F340E"/>
    <w:rsid w:val="00110FF4"/>
    <w:rsid w:val="00127347"/>
    <w:rsid w:val="00143BCC"/>
    <w:rsid w:val="001450EF"/>
    <w:rsid w:val="00145453"/>
    <w:rsid w:val="00150C18"/>
    <w:rsid w:val="00161D39"/>
    <w:rsid w:val="00162AC2"/>
    <w:rsid w:val="0017628E"/>
    <w:rsid w:val="00177306"/>
    <w:rsid w:val="001B58B8"/>
    <w:rsid w:val="001C31CB"/>
    <w:rsid w:val="001D0AC6"/>
    <w:rsid w:val="001D6C7D"/>
    <w:rsid w:val="001F4124"/>
    <w:rsid w:val="00224AB5"/>
    <w:rsid w:val="00253BCF"/>
    <w:rsid w:val="00266955"/>
    <w:rsid w:val="00276EB7"/>
    <w:rsid w:val="00280921"/>
    <w:rsid w:val="002943C1"/>
    <w:rsid w:val="002951FD"/>
    <w:rsid w:val="002B0864"/>
    <w:rsid w:val="002C704D"/>
    <w:rsid w:val="002D2D3A"/>
    <w:rsid w:val="002E6A20"/>
    <w:rsid w:val="002F7B44"/>
    <w:rsid w:val="00300077"/>
    <w:rsid w:val="003210F7"/>
    <w:rsid w:val="00346E62"/>
    <w:rsid w:val="00350F6D"/>
    <w:rsid w:val="00356C68"/>
    <w:rsid w:val="00367276"/>
    <w:rsid w:val="00380BDB"/>
    <w:rsid w:val="00390842"/>
    <w:rsid w:val="003A4C97"/>
    <w:rsid w:val="003B0F88"/>
    <w:rsid w:val="003B145B"/>
    <w:rsid w:val="003B631E"/>
    <w:rsid w:val="003C5590"/>
    <w:rsid w:val="003D1547"/>
    <w:rsid w:val="003D5952"/>
    <w:rsid w:val="00412964"/>
    <w:rsid w:val="004226A2"/>
    <w:rsid w:val="00424C98"/>
    <w:rsid w:val="0044475D"/>
    <w:rsid w:val="00460E55"/>
    <w:rsid w:val="00463348"/>
    <w:rsid w:val="00463D9B"/>
    <w:rsid w:val="00467ACD"/>
    <w:rsid w:val="0047317C"/>
    <w:rsid w:val="004874AF"/>
    <w:rsid w:val="00520A1F"/>
    <w:rsid w:val="005838E0"/>
    <w:rsid w:val="005A23AE"/>
    <w:rsid w:val="005A402B"/>
    <w:rsid w:val="005A4083"/>
    <w:rsid w:val="005B0BA1"/>
    <w:rsid w:val="005C38C4"/>
    <w:rsid w:val="005D73A1"/>
    <w:rsid w:val="005E2A9F"/>
    <w:rsid w:val="005F5609"/>
    <w:rsid w:val="00603572"/>
    <w:rsid w:val="0063011E"/>
    <w:rsid w:val="006302B4"/>
    <w:rsid w:val="00630BAA"/>
    <w:rsid w:val="006343F5"/>
    <w:rsid w:val="00634F8D"/>
    <w:rsid w:val="00665BDE"/>
    <w:rsid w:val="006D0649"/>
    <w:rsid w:val="006D2F29"/>
    <w:rsid w:val="006D5F32"/>
    <w:rsid w:val="006E7E8B"/>
    <w:rsid w:val="006F49FB"/>
    <w:rsid w:val="006F7C1E"/>
    <w:rsid w:val="00731BEE"/>
    <w:rsid w:val="00740D98"/>
    <w:rsid w:val="00746861"/>
    <w:rsid w:val="007765C3"/>
    <w:rsid w:val="007836A4"/>
    <w:rsid w:val="00795161"/>
    <w:rsid w:val="007A5156"/>
    <w:rsid w:val="007D0350"/>
    <w:rsid w:val="007D357D"/>
    <w:rsid w:val="007E2FBE"/>
    <w:rsid w:val="007E311D"/>
    <w:rsid w:val="0080280A"/>
    <w:rsid w:val="00806B12"/>
    <w:rsid w:val="00817905"/>
    <w:rsid w:val="00820401"/>
    <w:rsid w:val="00823CE0"/>
    <w:rsid w:val="00824E04"/>
    <w:rsid w:val="00836F0B"/>
    <w:rsid w:val="0083790F"/>
    <w:rsid w:val="00840D85"/>
    <w:rsid w:val="008463F4"/>
    <w:rsid w:val="00887904"/>
    <w:rsid w:val="008953FE"/>
    <w:rsid w:val="008A083F"/>
    <w:rsid w:val="008B43CC"/>
    <w:rsid w:val="008C62F3"/>
    <w:rsid w:val="008D695A"/>
    <w:rsid w:val="00913850"/>
    <w:rsid w:val="009215F1"/>
    <w:rsid w:val="00923B29"/>
    <w:rsid w:val="009564E0"/>
    <w:rsid w:val="0095655F"/>
    <w:rsid w:val="009565F5"/>
    <w:rsid w:val="009717D7"/>
    <w:rsid w:val="009803DB"/>
    <w:rsid w:val="00985843"/>
    <w:rsid w:val="00986A05"/>
    <w:rsid w:val="009A0B72"/>
    <w:rsid w:val="009A114B"/>
    <w:rsid w:val="009B5E86"/>
    <w:rsid w:val="009D0C28"/>
    <w:rsid w:val="009E0A9F"/>
    <w:rsid w:val="009F5880"/>
    <w:rsid w:val="00A011B1"/>
    <w:rsid w:val="00A1076C"/>
    <w:rsid w:val="00A26639"/>
    <w:rsid w:val="00A53BE0"/>
    <w:rsid w:val="00A674D5"/>
    <w:rsid w:val="00A86C09"/>
    <w:rsid w:val="00AA1B73"/>
    <w:rsid w:val="00AD7497"/>
    <w:rsid w:val="00AE0F6D"/>
    <w:rsid w:val="00AE5647"/>
    <w:rsid w:val="00B10ABA"/>
    <w:rsid w:val="00B140BB"/>
    <w:rsid w:val="00B34BF9"/>
    <w:rsid w:val="00B75117"/>
    <w:rsid w:val="00B86F93"/>
    <w:rsid w:val="00B87C57"/>
    <w:rsid w:val="00B947D7"/>
    <w:rsid w:val="00B9582A"/>
    <w:rsid w:val="00BB39E1"/>
    <w:rsid w:val="00BB3BBD"/>
    <w:rsid w:val="00BB7532"/>
    <w:rsid w:val="00BC21A1"/>
    <w:rsid w:val="00BC506D"/>
    <w:rsid w:val="00BC72A6"/>
    <w:rsid w:val="00BD407C"/>
    <w:rsid w:val="00BE05B1"/>
    <w:rsid w:val="00BF1A1D"/>
    <w:rsid w:val="00BF3033"/>
    <w:rsid w:val="00BF4854"/>
    <w:rsid w:val="00C041B7"/>
    <w:rsid w:val="00C10EC1"/>
    <w:rsid w:val="00C22B5E"/>
    <w:rsid w:val="00C416B5"/>
    <w:rsid w:val="00C41CC8"/>
    <w:rsid w:val="00C458C0"/>
    <w:rsid w:val="00C50271"/>
    <w:rsid w:val="00C5069F"/>
    <w:rsid w:val="00C5724E"/>
    <w:rsid w:val="00C64C17"/>
    <w:rsid w:val="00C71AA4"/>
    <w:rsid w:val="00CA29BC"/>
    <w:rsid w:val="00CB2D8B"/>
    <w:rsid w:val="00CB3271"/>
    <w:rsid w:val="00CC47A0"/>
    <w:rsid w:val="00CD566D"/>
    <w:rsid w:val="00CE0632"/>
    <w:rsid w:val="00CF4385"/>
    <w:rsid w:val="00CF5B6D"/>
    <w:rsid w:val="00D02F92"/>
    <w:rsid w:val="00D101B4"/>
    <w:rsid w:val="00D13CF8"/>
    <w:rsid w:val="00D209ED"/>
    <w:rsid w:val="00D76547"/>
    <w:rsid w:val="00D922D6"/>
    <w:rsid w:val="00D92FAF"/>
    <w:rsid w:val="00DA0341"/>
    <w:rsid w:val="00DA41F0"/>
    <w:rsid w:val="00DA7698"/>
    <w:rsid w:val="00DB03ED"/>
    <w:rsid w:val="00DC3779"/>
    <w:rsid w:val="00DF0345"/>
    <w:rsid w:val="00E04216"/>
    <w:rsid w:val="00E25C1C"/>
    <w:rsid w:val="00E26B6F"/>
    <w:rsid w:val="00E370D2"/>
    <w:rsid w:val="00E808D0"/>
    <w:rsid w:val="00E82615"/>
    <w:rsid w:val="00E82B27"/>
    <w:rsid w:val="00E926C4"/>
    <w:rsid w:val="00E95892"/>
    <w:rsid w:val="00ED148D"/>
    <w:rsid w:val="00ED2428"/>
    <w:rsid w:val="00ED37AA"/>
    <w:rsid w:val="00ED3F82"/>
    <w:rsid w:val="00EE53A6"/>
    <w:rsid w:val="00EF5643"/>
    <w:rsid w:val="00F079EB"/>
    <w:rsid w:val="00F12A6D"/>
    <w:rsid w:val="00F218B0"/>
    <w:rsid w:val="00F410BD"/>
    <w:rsid w:val="00F5797E"/>
    <w:rsid w:val="00F57983"/>
    <w:rsid w:val="00F8296A"/>
    <w:rsid w:val="00F92EDF"/>
    <w:rsid w:val="00F93A22"/>
    <w:rsid w:val="00FA7880"/>
    <w:rsid w:val="00FD29A7"/>
    <w:rsid w:val="00FF2379"/>
    <w:rsid w:val="00FF73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82"/>
    <w:pPr>
      <w:spacing w:line="480"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6D"/>
    <w:rPr>
      <w:color w:val="0563C1"/>
      <w:u w:val="single"/>
    </w:rPr>
  </w:style>
  <w:style w:type="paragraph" w:styleId="Header">
    <w:name w:val="header"/>
    <w:basedOn w:val="Normal"/>
    <w:link w:val="HeaderChar"/>
    <w:uiPriority w:val="99"/>
    <w:unhideWhenUsed/>
    <w:rsid w:val="00BC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A6"/>
  </w:style>
  <w:style w:type="paragraph" w:styleId="Footer">
    <w:name w:val="footer"/>
    <w:basedOn w:val="Normal"/>
    <w:link w:val="FooterChar"/>
    <w:uiPriority w:val="99"/>
    <w:unhideWhenUsed/>
    <w:rsid w:val="00BC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A6"/>
  </w:style>
  <w:style w:type="character" w:styleId="CommentReference">
    <w:name w:val="annotation reference"/>
    <w:basedOn w:val="DefaultParagraphFont"/>
    <w:uiPriority w:val="99"/>
    <w:semiHidden/>
    <w:unhideWhenUsed/>
    <w:rsid w:val="00EE53A6"/>
    <w:rPr>
      <w:sz w:val="16"/>
      <w:szCs w:val="16"/>
    </w:rPr>
  </w:style>
  <w:style w:type="paragraph" w:styleId="CommentText">
    <w:name w:val="annotation text"/>
    <w:basedOn w:val="Normal"/>
    <w:link w:val="CommentTextChar"/>
    <w:uiPriority w:val="99"/>
    <w:semiHidden/>
    <w:unhideWhenUsed/>
    <w:rsid w:val="00EE53A6"/>
    <w:pPr>
      <w:spacing w:line="240" w:lineRule="auto"/>
    </w:pPr>
    <w:rPr>
      <w:sz w:val="20"/>
      <w:szCs w:val="20"/>
    </w:rPr>
  </w:style>
  <w:style w:type="character" w:customStyle="1" w:styleId="CommentTextChar">
    <w:name w:val="Comment Text Char"/>
    <w:basedOn w:val="DefaultParagraphFont"/>
    <w:link w:val="CommentText"/>
    <w:uiPriority w:val="99"/>
    <w:semiHidden/>
    <w:rsid w:val="00EE53A6"/>
    <w:rPr>
      <w:sz w:val="20"/>
      <w:szCs w:val="20"/>
    </w:rPr>
  </w:style>
  <w:style w:type="paragraph" w:styleId="CommentSubject">
    <w:name w:val="annotation subject"/>
    <w:basedOn w:val="CommentText"/>
    <w:next w:val="CommentText"/>
    <w:link w:val="CommentSubjectChar"/>
    <w:uiPriority w:val="99"/>
    <w:semiHidden/>
    <w:unhideWhenUsed/>
    <w:rsid w:val="00EE53A6"/>
    <w:rPr>
      <w:b/>
      <w:bCs/>
    </w:rPr>
  </w:style>
  <w:style w:type="character" w:customStyle="1" w:styleId="CommentSubjectChar">
    <w:name w:val="Comment Subject Char"/>
    <w:basedOn w:val="CommentTextChar"/>
    <w:link w:val="CommentSubject"/>
    <w:uiPriority w:val="99"/>
    <w:semiHidden/>
    <w:rsid w:val="00EE53A6"/>
    <w:rPr>
      <w:b/>
      <w:bCs/>
      <w:sz w:val="20"/>
      <w:szCs w:val="20"/>
    </w:rPr>
  </w:style>
  <w:style w:type="paragraph" w:styleId="BalloonText">
    <w:name w:val="Balloon Text"/>
    <w:basedOn w:val="Normal"/>
    <w:link w:val="BalloonTextChar"/>
    <w:uiPriority w:val="99"/>
    <w:semiHidden/>
    <w:unhideWhenUsed/>
    <w:rsid w:val="00EE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A6"/>
    <w:rPr>
      <w:rFonts w:ascii="Segoe UI" w:hAnsi="Segoe UI" w:cs="Segoe UI"/>
      <w:sz w:val="18"/>
      <w:szCs w:val="18"/>
    </w:rPr>
  </w:style>
  <w:style w:type="table" w:styleId="TableGrid">
    <w:name w:val="Table Grid"/>
    <w:basedOn w:val="TableNormal"/>
    <w:uiPriority w:val="39"/>
    <w:rsid w:val="0012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38E0"/>
    <w:pPr>
      <w:spacing w:after="0" w:line="240" w:lineRule="auto"/>
    </w:pPr>
    <w:rPr>
      <w:rFonts w:ascii="Times New Roman" w:eastAsia="Times New Roman" w:hAnsi="Times New Roman" w:cs="Times New Roman"/>
      <w:sz w:val="28"/>
      <w:szCs w:val="20"/>
      <w:lang w:val="fr-CA"/>
    </w:rPr>
  </w:style>
  <w:style w:type="character" w:customStyle="1" w:styleId="BodyTextChar">
    <w:name w:val="Body Text Char"/>
    <w:basedOn w:val="DefaultParagraphFont"/>
    <w:link w:val="BodyText"/>
    <w:rsid w:val="005838E0"/>
    <w:rPr>
      <w:rFonts w:ascii="Times New Roman" w:eastAsia="Times New Roman" w:hAnsi="Times New Roman" w:cs="Times New Roman"/>
      <w:sz w:val="28"/>
      <w:szCs w:val="20"/>
      <w:lang w:val="fr-CA"/>
    </w:rPr>
  </w:style>
  <w:style w:type="paragraph" w:styleId="PlainText">
    <w:name w:val="Plain Text"/>
    <w:basedOn w:val="Normal"/>
    <w:link w:val="PlainTextChar"/>
    <w:uiPriority w:val="99"/>
    <w:unhideWhenUsed/>
    <w:rsid w:val="008B43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43CC"/>
    <w:rPr>
      <w:rFonts w:ascii="Calibri" w:hAnsi="Calibri"/>
      <w:szCs w:val="21"/>
    </w:rPr>
  </w:style>
  <w:style w:type="paragraph" w:styleId="NormalWeb">
    <w:name w:val="Normal (Web)"/>
    <w:basedOn w:val="Normal"/>
    <w:uiPriority w:val="99"/>
    <w:unhideWhenUsed/>
    <w:rsid w:val="001C31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3F82"/>
    <w:rPr>
      <w:b/>
      <w:bCs/>
    </w:rPr>
  </w:style>
  <w:style w:type="paragraph" w:styleId="ListParagraph">
    <w:name w:val="List Paragraph"/>
    <w:basedOn w:val="Normal"/>
    <w:uiPriority w:val="34"/>
    <w:qFormat/>
    <w:rsid w:val="00DF0345"/>
    <w:pPr>
      <w:spacing w:after="0" w:line="240" w:lineRule="auto"/>
      <w:ind w:left="720"/>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82"/>
    <w:pPr>
      <w:spacing w:line="480"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6D"/>
    <w:rPr>
      <w:color w:val="0563C1"/>
      <w:u w:val="single"/>
    </w:rPr>
  </w:style>
  <w:style w:type="paragraph" w:styleId="Header">
    <w:name w:val="header"/>
    <w:basedOn w:val="Normal"/>
    <w:link w:val="HeaderChar"/>
    <w:uiPriority w:val="99"/>
    <w:unhideWhenUsed/>
    <w:rsid w:val="00BC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A6"/>
  </w:style>
  <w:style w:type="paragraph" w:styleId="Footer">
    <w:name w:val="footer"/>
    <w:basedOn w:val="Normal"/>
    <w:link w:val="FooterChar"/>
    <w:uiPriority w:val="99"/>
    <w:unhideWhenUsed/>
    <w:rsid w:val="00BC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A6"/>
  </w:style>
  <w:style w:type="character" w:styleId="CommentReference">
    <w:name w:val="annotation reference"/>
    <w:basedOn w:val="DefaultParagraphFont"/>
    <w:uiPriority w:val="99"/>
    <w:semiHidden/>
    <w:unhideWhenUsed/>
    <w:rsid w:val="00EE53A6"/>
    <w:rPr>
      <w:sz w:val="16"/>
      <w:szCs w:val="16"/>
    </w:rPr>
  </w:style>
  <w:style w:type="paragraph" w:styleId="CommentText">
    <w:name w:val="annotation text"/>
    <w:basedOn w:val="Normal"/>
    <w:link w:val="CommentTextChar"/>
    <w:uiPriority w:val="99"/>
    <w:semiHidden/>
    <w:unhideWhenUsed/>
    <w:rsid w:val="00EE53A6"/>
    <w:pPr>
      <w:spacing w:line="240" w:lineRule="auto"/>
    </w:pPr>
    <w:rPr>
      <w:sz w:val="20"/>
      <w:szCs w:val="20"/>
    </w:rPr>
  </w:style>
  <w:style w:type="character" w:customStyle="1" w:styleId="CommentTextChar">
    <w:name w:val="Comment Text Char"/>
    <w:basedOn w:val="DefaultParagraphFont"/>
    <w:link w:val="CommentText"/>
    <w:uiPriority w:val="99"/>
    <w:semiHidden/>
    <w:rsid w:val="00EE53A6"/>
    <w:rPr>
      <w:sz w:val="20"/>
      <w:szCs w:val="20"/>
    </w:rPr>
  </w:style>
  <w:style w:type="paragraph" w:styleId="CommentSubject">
    <w:name w:val="annotation subject"/>
    <w:basedOn w:val="CommentText"/>
    <w:next w:val="CommentText"/>
    <w:link w:val="CommentSubjectChar"/>
    <w:uiPriority w:val="99"/>
    <w:semiHidden/>
    <w:unhideWhenUsed/>
    <w:rsid w:val="00EE53A6"/>
    <w:rPr>
      <w:b/>
      <w:bCs/>
    </w:rPr>
  </w:style>
  <w:style w:type="character" w:customStyle="1" w:styleId="CommentSubjectChar">
    <w:name w:val="Comment Subject Char"/>
    <w:basedOn w:val="CommentTextChar"/>
    <w:link w:val="CommentSubject"/>
    <w:uiPriority w:val="99"/>
    <w:semiHidden/>
    <w:rsid w:val="00EE53A6"/>
    <w:rPr>
      <w:b/>
      <w:bCs/>
      <w:sz w:val="20"/>
      <w:szCs w:val="20"/>
    </w:rPr>
  </w:style>
  <w:style w:type="paragraph" w:styleId="BalloonText">
    <w:name w:val="Balloon Text"/>
    <w:basedOn w:val="Normal"/>
    <w:link w:val="BalloonTextChar"/>
    <w:uiPriority w:val="99"/>
    <w:semiHidden/>
    <w:unhideWhenUsed/>
    <w:rsid w:val="00EE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A6"/>
    <w:rPr>
      <w:rFonts w:ascii="Segoe UI" w:hAnsi="Segoe UI" w:cs="Segoe UI"/>
      <w:sz w:val="18"/>
      <w:szCs w:val="18"/>
    </w:rPr>
  </w:style>
  <w:style w:type="table" w:styleId="TableGrid">
    <w:name w:val="Table Grid"/>
    <w:basedOn w:val="TableNormal"/>
    <w:uiPriority w:val="39"/>
    <w:rsid w:val="0012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38E0"/>
    <w:pPr>
      <w:spacing w:after="0" w:line="240" w:lineRule="auto"/>
    </w:pPr>
    <w:rPr>
      <w:rFonts w:ascii="Times New Roman" w:eastAsia="Times New Roman" w:hAnsi="Times New Roman" w:cs="Times New Roman"/>
      <w:sz w:val="28"/>
      <w:szCs w:val="20"/>
      <w:lang w:val="fr-CA"/>
    </w:rPr>
  </w:style>
  <w:style w:type="character" w:customStyle="1" w:styleId="BodyTextChar">
    <w:name w:val="Body Text Char"/>
    <w:basedOn w:val="DefaultParagraphFont"/>
    <w:link w:val="BodyText"/>
    <w:rsid w:val="005838E0"/>
    <w:rPr>
      <w:rFonts w:ascii="Times New Roman" w:eastAsia="Times New Roman" w:hAnsi="Times New Roman" w:cs="Times New Roman"/>
      <w:sz w:val="28"/>
      <w:szCs w:val="20"/>
      <w:lang w:val="fr-CA"/>
    </w:rPr>
  </w:style>
  <w:style w:type="paragraph" w:styleId="PlainText">
    <w:name w:val="Plain Text"/>
    <w:basedOn w:val="Normal"/>
    <w:link w:val="PlainTextChar"/>
    <w:uiPriority w:val="99"/>
    <w:unhideWhenUsed/>
    <w:rsid w:val="008B43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43CC"/>
    <w:rPr>
      <w:rFonts w:ascii="Calibri" w:hAnsi="Calibri"/>
      <w:szCs w:val="21"/>
    </w:rPr>
  </w:style>
  <w:style w:type="paragraph" w:styleId="NormalWeb">
    <w:name w:val="Normal (Web)"/>
    <w:basedOn w:val="Normal"/>
    <w:uiPriority w:val="99"/>
    <w:unhideWhenUsed/>
    <w:rsid w:val="001C31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D3F82"/>
    <w:rPr>
      <w:b/>
      <w:bCs/>
    </w:rPr>
  </w:style>
  <w:style w:type="paragraph" w:styleId="ListParagraph">
    <w:name w:val="List Paragraph"/>
    <w:basedOn w:val="Normal"/>
    <w:uiPriority w:val="34"/>
    <w:qFormat/>
    <w:rsid w:val="00DF0345"/>
    <w:pPr>
      <w:spacing w:after="0" w:line="240" w:lineRule="auto"/>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4369">
      <w:bodyDiv w:val="1"/>
      <w:marLeft w:val="0"/>
      <w:marRight w:val="0"/>
      <w:marTop w:val="0"/>
      <w:marBottom w:val="0"/>
      <w:divBdr>
        <w:top w:val="none" w:sz="0" w:space="0" w:color="auto"/>
        <w:left w:val="none" w:sz="0" w:space="0" w:color="auto"/>
        <w:bottom w:val="none" w:sz="0" w:space="0" w:color="auto"/>
        <w:right w:val="none" w:sz="0" w:space="0" w:color="auto"/>
      </w:divBdr>
    </w:div>
    <w:div w:id="266816994">
      <w:bodyDiv w:val="1"/>
      <w:marLeft w:val="0"/>
      <w:marRight w:val="0"/>
      <w:marTop w:val="0"/>
      <w:marBottom w:val="0"/>
      <w:divBdr>
        <w:top w:val="none" w:sz="0" w:space="0" w:color="auto"/>
        <w:left w:val="none" w:sz="0" w:space="0" w:color="auto"/>
        <w:bottom w:val="none" w:sz="0" w:space="0" w:color="auto"/>
        <w:right w:val="none" w:sz="0" w:space="0" w:color="auto"/>
      </w:divBdr>
    </w:div>
    <w:div w:id="433062119">
      <w:bodyDiv w:val="1"/>
      <w:marLeft w:val="0"/>
      <w:marRight w:val="0"/>
      <w:marTop w:val="0"/>
      <w:marBottom w:val="0"/>
      <w:divBdr>
        <w:top w:val="none" w:sz="0" w:space="0" w:color="auto"/>
        <w:left w:val="none" w:sz="0" w:space="0" w:color="auto"/>
        <w:bottom w:val="none" w:sz="0" w:space="0" w:color="auto"/>
        <w:right w:val="none" w:sz="0" w:space="0" w:color="auto"/>
      </w:divBdr>
    </w:div>
    <w:div w:id="512302245">
      <w:bodyDiv w:val="1"/>
      <w:marLeft w:val="0"/>
      <w:marRight w:val="0"/>
      <w:marTop w:val="0"/>
      <w:marBottom w:val="0"/>
      <w:divBdr>
        <w:top w:val="none" w:sz="0" w:space="0" w:color="auto"/>
        <w:left w:val="none" w:sz="0" w:space="0" w:color="auto"/>
        <w:bottom w:val="none" w:sz="0" w:space="0" w:color="auto"/>
        <w:right w:val="none" w:sz="0" w:space="0" w:color="auto"/>
      </w:divBdr>
    </w:div>
    <w:div w:id="519196890">
      <w:bodyDiv w:val="1"/>
      <w:marLeft w:val="0"/>
      <w:marRight w:val="0"/>
      <w:marTop w:val="0"/>
      <w:marBottom w:val="0"/>
      <w:divBdr>
        <w:top w:val="none" w:sz="0" w:space="0" w:color="auto"/>
        <w:left w:val="none" w:sz="0" w:space="0" w:color="auto"/>
        <w:bottom w:val="none" w:sz="0" w:space="0" w:color="auto"/>
        <w:right w:val="none" w:sz="0" w:space="0" w:color="auto"/>
      </w:divBdr>
    </w:div>
    <w:div w:id="525213673">
      <w:bodyDiv w:val="1"/>
      <w:marLeft w:val="0"/>
      <w:marRight w:val="0"/>
      <w:marTop w:val="0"/>
      <w:marBottom w:val="0"/>
      <w:divBdr>
        <w:top w:val="none" w:sz="0" w:space="0" w:color="auto"/>
        <w:left w:val="none" w:sz="0" w:space="0" w:color="auto"/>
        <w:bottom w:val="none" w:sz="0" w:space="0" w:color="auto"/>
        <w:right w:val="none" w:sz="0" w:space="0" w:color="auto"/>
      </w:divBdr>
    </w:div>
    <w:div w:id="542988031">
      <w:bodyDiv w:val="1"/>
      <w:marLeft w:val="0"/>
      <w:marRight w:val="0"/>
      <w:marTop w:val="0"/>
      <w:marBottom w:val="0"/>
      <w:divBdr>
        <w:top w:val="none" w:sz="0" w:space="0" w:color="auto"/>
        <w:left w:val="none" w:sz="0" w:space="0" w:color="auto"/>
        <w:bottom w:val="none" w:sz="0" w:space="0" w:color="auto"/>
        <w:right w:val="none" w:sz="0" w:space="0" w:color="auto"/>
      </w:divBdr>
    </w:div>
    <w:div w:id="950010158">
      <w:bodyDiv w:val="1"/>
      <w:marLeft w:val="0"/>
      <w:marRight w:val="0"/>
      <w:marTop w:val="0"/>
      <w:marBottom w:val="0"/>
      <w:divBdr>
        <w:top w:val="none" w:sz="0" w:space="0" w:color="auto"/>
        <w:left w:val="none" w:sz="0" w:space="0" w:color="auto"/>
        <w:bottom w:val="none" w:sz="0" w:space="0" w:color="auto"/>
        <w:right w:val="none" w:sz="0" w:space="0" w:color="auto"/>
      </w:divBdr>
    </w:div>
    <w:div w:id="972754248">
      <w:bodyDiv w:val="1"/>
      <w:marLeft w:val="0"/>
      <w:marRight w:val="0"/>
      <w:marTop w:val="0"/>
      <w:marBottom w:val="0"/>
      <w:divBdr>
        <w:top w:val="none" w:sz="0" w:space="0" w:color="auto"/>
        <w:left w:val="none" w:sz="0" w:space="0" w:color="auto"/>
        <w:bottom w:val="none" w:sz="0" w:space="0" w:color="auto"/>
        <w:right w:val="none" w:sz="0" w:space="0" w:color="auto"/>
      </w:divBdr>
    </w:div>
    <w:div w:id="1069234640">
      <w:bodyDiv w:val="1"/>
      <w:marLeft w:val="0"/>
      <w:marRight w:val="0"/>
      <w:marTop w:val="0"/>
      <w:marBottom w:val="0"/>
      <w:divBdr>
        <w:top w:val="none" w:sz="0" w:space="0" w:color="auto"/>
        <w:left w:val="none" w:sz="0" w:space="0" w:color="auto"/>
        <w:bottom w:val="none" w:sz="0" w:space="0" w:color="auto"/>
        <w:right w:val="none" w:sz="0" w:space="0" w:color="auto"/>
      </w:divBdr>
      <w:divsChild>
        <w:div w:id="2138183960">
          <w:marLeft w:val="0"/>
          <w:marRight w:val="0"/>
          <w:marTop w:val="0"/>
          <w:marBottom w:val="0"/>
          <w:divBdr>
            <w:top w:val="none" w:sz="0" w:space="0" w:color="auto"/>
            <w:left w:val="none" w:sz="0" w:space="0" w:color="auto"/>
            <w:bottom w:val="none" w:sz="0" w:space="0" w:color="auto"/>
            <w:right w:val="none" w:sz="0" w:space="0" w:color="auto"/>
          </w:divBdr>
          <w:divsChild>
            <w:div w:id="219901009">
              <w:marLeft w:val="0"/>
              <w:marRight w:val="0"/>
              <w:marTop w:val="0"/>
              <w:marBottom w:val="0"/>
              <w:divBdr>
                <w:top w:val="none" w:sz="0" w:space="0" w:color="auto"/>
                <w:left w:val="none" w:sz="0" w:space="0" w:color="auto"/>
                <w:bottom w:val="none" w:sz="0" w:space="0" w:color="auto"/>
                <w:right w:val="none" w:sz="0" w:space="0" w:color="auto"/>
              </w:divBdr>
              <w:divsChild>
                <w:div w:id="11711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7053">
      <w:bodyDiv w:val="1"/>
      <w:marLeft w:val="0"/>
      <w:marRight w:val="0"/>
      <w:marTop w:val="0"/>
      <w:marBottom w:val="0"/>
      <w:divBdr>
        <w:top w:val="none" w:sz="0" w:space="0" w:color="auto"/>
        <w:left w:val="none" w:sz="0" w:space="0" w:color="auto"/>
        <w:bottom w:val="none" w:sz="0" w:space="0" w:color="auto"/>
        <w:right w:val="none" w:sz="0" w:space="0" w:color="auto"/>
      </w:divBdr>
    </w:div>
    <w:div w:id="16660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rdreading.org" TargetMode="External"/><Relationship Id="rId18" Type="http://schemas.openxmlformats.org/officeDocument/2006/relationships/image" Target="media/image1.jpeg"/><Relationship Id="rId26" Type="http://schemas.openxmlformats.org/officeDocument/2006/relationships/hyperlink" Target="http://www.fasken.com/en/home" TargetMode="External"/><Relationship Id="rId3" Type="http://schemas.openxmlformats.org/officeDocument/2006/relationships/styles" Target="styles.xml"/><Relationship Id="rId21" Type="http://schemas.openxmlformats.org/officeDocument/2006/relationships/hyperlink" Target="http://www.lordreading.org/en/" TargetMode="External"/><Relationship Id="rId7" Type="http://schemas.openxmlformats.org/officeDocument/2006/relationships/footnotes" Target="footnotes.xml"/><Relationship Id="rId12" Type="http://schemas.openxmlformats.org/officeDocument/2006/relationships/hyperlink" Target="http://www.embassies.gov.il" TargetMode="External"/><Relationship Id="rId17" Type="http://schemas.openxmlformats.org/officeDocument/2006/relationships/hyperlink" Target="http://www.fasken.com"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eim.org/"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ppmcgill.ca"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airelrwilson.ca" TargetMode="External"/><Relationship Id="rId23" Type="http://schemas.openxmlformats.org/officeDocument/2006/relationships/image" Target="media/image5.gif"/><Relationship Id="rId28" Type="http://schemas.openxmlformats.org/officeDocument/2006/relationships/header" Target="header1.xml"/><Relationship Id="rId10" Type="http://schemas.openxmlformats.org/officeDocument/2006/relationships/hyperlink" Target="http://www.cippmcgill.ca/" TargetMode="Externa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ipp1.law@mcgill.ca" TargetMode="External"/><Relationship Id="rId14" Type="http://schemas.openxmlformats.org/officeDocument/2006/relationships/hyperlink" Target="http://www.crdp.umontreal.ca" TargetMode="External"/><Relationship Id="rId22" Type="http://schemas.openxmlformats.org/officeDocument/2006/relationships/image" Target="media/image4.gif"/><Relationship Id="rId27" Type="http://schemas.openxmlformats.org/officeDocument/2006/relationships/image" Target="media/image8.gif"/><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59BD-8F1B-40C3-BDFE-37BEB2DB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Webb, Ms.</dc:creator>
  <cp:lastModifiedBy>Lysanne Larose</cp:lastModifiedBy>
  <cp:revision>2</cp:revision>
  <cp:lastPrinted>2016-10-13T21:01:00Z</cp:lastPrinted>
  <dcterms:created xsi:type="dcterms:W3CDTF">2016-10-17T17:21:00Z</dcterms:created>
  <dcterms:modified xsi:type="dcterms:W3CDTF">2016-10-17T17:21:00Z</dcterms:modified>
</cp:coreProperties>
</file>