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F" w:rsidRDefault="00BC3E8F" w:rsidP="00BC3E8F">
      <w:pPr>
        <w:pStyle w:val="PlainText"/>
        <w:rPr>
          <w:rFonts w:ascii="Comic Sans MS" w:hAnsi="Comic Sans MS"/>
          <w:b/>
          <w:sz w:val="24"/>
        </w:rPr>
      </w:pPr>
      <w:bookmarkStart w:id="0" w:name="_GoBack"/>
      <w:bookmarkEnd w:id="0"/>
      <w:r>
        <w:rPr>
          <w:noProof/>
          <w:sz w:val="24"/>
          <w:lang w:val="en-CA" w:eastAsia="en-CA"/>
        </w:rPr>
        <w:drawing>
          <wp:inline distT="0" distB="0" distL="0" distR="0">
            <wp:extent cx="2428875" cy="575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913" cy="58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8F" w:rsidRPr="00BC3E8F" w:rsidRDefault="00BC3E8F" w:rsidP="00BC3E8F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Department of Mining and Materials Engineering</w:t>
      </w:r>
    </w:p>
    <w:p w:rsidR="00BC3E8F" w:rsidRDefault="00BC3E8F" w:rsidP="00BC3E8F">
      <w:pPr>
        <w:pStyle w:val="PlainText"/>
        <w:rPr>
          <w:rFonts w:ascii="Comic Sans MS" w:hAnsi="Comic Sans MS"/>
          <w:b/>
          <w:sz w:val="40"/>
        </w:rPr>
      </w:pPr>
    </w:p>
    <w:p w:rsidR="008A2BDF" w:rsidRPr="008A2BDF" w:rsidRDefault="008A2BDF" w:rsidP="008A2BDF">
      <w:pPr>
        <w:jc w:val="center"/>
        <w:rPr>
          <w:b/>
          <w:sz w:val="40"/>
          <w:szCs w:val="40"/>
        </w:rPr>
      </w:pPr>
      <w:r w:rsidRPr="008A2BDF">
        <w:rPr>
          <w:b/>
          <w:sz w:val="40"/>
          <w:szCs w:val="40"/>
        </w:rPr>
        <w:t>TRACK your new experiment!</w:t>
      </w:r>
    </w:p>
    <w:p w:rsidR="008A2BDF" w:rsidRPr="008A2BDF" w:rsidRDefault="008A2BDF" w:rsidP="008A2BDF">
      <w:pPr>
        <w:jc w:val="center"/>
        <w:rPr>
          <w:b/>
        </w:rPr>
      </w:pPr>
      <w:r w:rsidRPr="00BC3E8F">
        <w:rPr>
          <w:b/>
          <w:u w:val="single"/>
        </w:rPr>
        <w:t>T</w:t>
      </w:r>
      <w:r w:rsidRPr="008A2BDF">
        <w:rPr>
          <w:b/>
        </w:rPr>
        <w:t>hink through the task</w:t>
      </w:r>
    </w:p>
    <w:p w:rsidR="008A2BDF" w:rsidRPr="008A2BDF" w:rsidRDefault="008A2BDF" w:rsidP="008A2BDF">
      <w:pPr>
        <w:jc w:val="center"/>
        <w:rPr>
          <w:b/>
        </w:rPr>
      </w:pPr>
      <w:r w:rsidRPr="00BC3E8F">
        <w:rPr>
          <w:b/>
          <w:u w:val="single"/>
        </w:rPr>
        <w:t>R</w:t>
      </w:r>
      <w:r w:rsidRPr="008A2BDF">
        <w:rPr>
          <w:b/>
        </w:rPr>
        <w:t>ecognize the hazards</w:t>
      </w:r>
    </w:p>
    <w:p w:rsidR="008A2BDF" w:rsidRPr="008A2BDF" w:rsidRDefault="008A2BDF" w:rsidP="008A2BDF">
      <w:pPr>
        <w:jc w:val="center"/>
        <w:rPr>
          <w:b/>
        </w:rPr>
      </w:pPr>
      <w:r w:rsidRPr="00BC3E8F">
        <w:rPr>
          <w:b/>
          <w:u w:val="single"/>
        </w:rPr>
        <w:t>A</w:t>
      </w:r>
      <w:r w:rsidRPr="008A2BDF">
        <w:rPr>
          <w:b/>
        </w:rPr>
        <w:t>ssess the risks</w:t>
      </w:r>
    </w:p>
    <w:p w:rsidR="008A2BDF" w:rsidRPr="008A2BDF" w:rsidRDefault="008A2BDF" w:rsidP="008A2BDF">
      <w:pPr>
        <w:jc w:val="center"/>
        <w:rPr>
          <w:b/>
        </w:rPr>
      </w:pPr>
      <w:r w:rsidRPr="00BC3E8F">
        <w:rPr>
          <w:b/>
          <w:u w:val="single"/>
        </w:rPr>
        <w:t>C</w:t>
      </w:r>
      <w:r w:rsidRPr="008A2BDF">
        <w:rPr>
          <w:b/>
        </w:rPr>
        <w:t>ontrol the hazards</w:t>
      </w:r>
    </w:p>
    <w:p w:rsidR="008A2BDF" w:rsidRPr="008A2BDF" w:rsidRDefault="008A2BDF" w:rsidP="008A2BDF">
      <w:pPr>
        <w:jc w:val="center"/>
        <w:rPr>
          <w:b/>
          <w:sz w:val="24"/>
          <w:szCs w:val="24"/>
        </w:rPr>
      </w:pPr>
      <w:r w:rsidRPr="00BC3E8F">
        <w:rPr>
          <w:b/>
          <w:u w:val="single"/>
        </w:rPr>
        <w:t>K</w:t>
      </w:r>
      <w:r w:rsidRPr="008A2BDF">
        <w:rPr>
          <w:b/>
        </w:rPr>
        <w:t>eep safety first in all tasks</w:t>
      </w:r>
    </w:p>
    <w:p w:rsidR="008A2BDF" w:rsidRDefault="008A2BDF">
      <w:pPr>
        <w:rPr>
          <w:b/>
          <w:sz w:val="24"/>
          <w:szCs w:val="24"/>
        </w:rPr>
      </w:pPr>
    </w:p>
    <w:p w:rsidR="008A2BDF" w:rsidRPr="00BC3E8F" w:rsidRDefault="008A2BDF" w:rsidP="008A2BD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C3E8F">
        <w:rPr>
          <w:b/>
          <w:sz w:val="24"/>
          <w:szCs w:val="24"/>
          <w:u w:val="single"/>
        </w:rPr>
        <w:t>THINK through the task</w:t>
      </w:r>
    </w:p>
    <w:p w:rsidR="00992CA6" w:rsidRDefault="001210FC">
      <w:pPr>
        <w:rPr>
          <w:sz w:val="24"/>
          <w:szCs w:val="24"/>
        </w:rPr>
      </w:pPr>
      <w:r w:rsidRPr="001210FC">
        <w:rPr>
          <w:b/>
          <w:sz w:val="24"/>
          <w:szCs w:val="24"/>
        </w:rPr>
        <w:t>Name:</w:t>
      </w:r>
      <w:r w:rsidR="00B3247D" w:rsidRPr="00B3247D">
        <w:rPr>
          <w:sz w:val="24"/>
          <w:szCs w:val="24"/>
        </w:rPr>
        <w:tab/>
      </w:r>
    </w:p>
    <w:p w:rsidR="001210FC" w:rsidRPr="00992CA6" w:rsidRDefault="00992CA6">
      <w:pPr>
        <w:rPr>
          <w:b/>
          <w:sz w:val="24"/>
          <w:szCs w:val="24"/>
        </w:rPr>
      </w:pPr>
      <w:r w:rsidRPr="00992CA6">
        <w:rPr>
          <w:b/>
          <w:sz w:val="24"/>
          <w:szCs w:val="24"/>
        </w:rPr>
        <w:t>Supervisor:</w:t>
      </w:r>
      <w:r w:rsidR="00B3247D" w:rsidRPr="00992CA6">
        <w:rPr>
          <w:b/>
          <w:sz w:val="24"/>
          <w:szCs w:val="24"/>
        </w:rPr>
        <w:tab/>
      </w:r>
      <w:r w:rsidR="00B3247D" w:rsidRPr="00992CA6">
        <w:rPr>
          <w:b/>
          <w:sz w:val="24"/>
          <w:szCs w:val="24"/>
        </w:rPr>
        <w:tab/>
      </w:r>
    </w:p>
    <w:p w:rsidR="008A2BDF" w:rsidRDefault="008A2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0D16B5" w:rsidRDefault="00A37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Experiment title</w:t>
      </w:r>
      <w:r w:rsidR="00B3247D">
        <w:rPr>
          <w:b/>
          <w:sz w:val="24"/>
          <w:szCs w:val="24"/>
        </w:rPr>
        <w:t xml:space="preserve"> </w:t>
      </w:r>
    </w:p>
    <w:p w:rsidR="008A2BDF" w:rsidRDefault="008A2BDF">
      <w:pPr>
        <w:rPr>
          <w:b/>
          <w:sz w:val="24"/>
          <w:szCs w:val="24"/>
        </w:rPr>
      </w:pPr>
    </w:p>
    <w:p w:rsidR="001210FC" w:rsidRDefault="00A37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</w:p>
    <w:p w:rsidR="000D16B5" w:rsidRDefault="000D16B5">
      <w:pPr>
        <w:rPr>
          <w:b/>
          <w:sz w:val="24"/>
          <w:szCs w:val="24"/>
        </w:rPr>
      </w:pPr>
    </w:p>
    <w:p w:rsidR="001210FC" w:rsidRDefault="00A37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Accurate</w:t>
      </w:r>
      <w:r w:rsidR="001210FC" w:rsidRPr="001210FC">
        <w:rPr>
          <w:b/>
          <w:sz w:val="24"/>
          <w:szCs w:val="24"/>
        </w:rPr>
        <w:t xml:space="preserve"> description of the experimental </w:t>
      </w:r>
      <w:r>
        <w:rPr>
          <w:b/>
          <w:sz w:val="24"/>
          <w:szCs w:val="24"/>
        </w:rPr>
        <w:t>procedure (please include all steps, amounts of materials involved, concentrations of solutions, temperatures, times…)</w:t>
      </w:r>
    </w:p>
    <w:p w:rsidR="00B3247D" w:rsidRDefault="00B3247D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Default="008A2BDF" w:rsidP="001210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2BDF" w:rsidRPr="00BC3E8F" w:rsidRDefault="008A2BDF" w:rsidP="008A2B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BC3E8F">
        <w:rPr>
          <w:b/>
          <w:sz w:val="24"/>
          <w:szCs w:val="24"/>
          <w:u w:val="single"/>
        </w:rPr>
        <w:t>RECOGNIZE the hazards</w:t>
      </w:r>
    </w:p>
    <w:p w:rsidR="001210FC" w:rsidRDefault="008A2BDF" w:rsidP="00121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Which hazards do you deal with in your experiment?</w:t>
      </w:r>
    </w:p>
    <w:p w:rsidR="00A37BD9" w:rsidRDefault="00A37BD9" w:rsidP="00121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Please go through the list below, using this table in order to evaluate if your risk is low, moderate or high:</w:t>
      </w:r>
    </w:p>
    <w:p w:rsidR="00A37BD9" w:rsidRPr="001210FC" w:rsidRDefault="00A37BD9" w:rsidP="00121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</w:rPr>
        <w:drawing>
          <wp:inline distT="0" distB="0" distL="0" distR="0">
            <wp:extent cx="4276191" cy="2552381"/>
            <wp:effectExtent l="0" t="0" r="0" b="0"/>
            <wp:docPr id="1" name="Picture 0" descr="risk 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tab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2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FC" w:rsidRPr="001210FC" w:rsidRDefault="001210FC" w:rsidP="00121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530"/>
        <w:gridCol w:w="2394"/>
        <w:gridCol w:w="2394"/>
      </w:tblGrid>
      <w:tr w:rsidR="001210FC" w:rsidRPr="001210FC" w:rsidTr="00A37BD9">
        <w:tc>
          <w:tcPr>
            <w:tcW w:w="3258" w:type="dxa"/>
          </w:tcPr>
          <w:p w:rsidR="001210FC" w:rsidRPr="001210FC" w:rsidRDefault="001E6F38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Risk</w:t>
            </w:r>
          </w:p>
        </w:tc>
        <w:tc>
          <w:tcPr>
            <w:tcW w:w="1530" w:type="dxa"/>
          </w:tcPr>
          <w:p w:rsidR="001210FC" w:rsidRPr="001210FC" w:rsidRDefault="00A37BD9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394" w:type="dxa"/>
          </w:tcPr>
          <w:p w:rsidR="001210FC" w:rsidRPr="001210FC" w:rsidRDefault="001210FC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394" w:type="dxa"/>
          </w:tcPr>
          <w:p w:rsidR="001210FC" w:rsidRPr="001210FC" w:rsidRDefault="00A37BD9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1210FC" w:rsidRPr="001210FC" w:rsidTr="00A37BD9">
        <w:tc>
          <w:tcPr>
            <w:tcW w:w="3258" w:type="dxa"/>
          </w:tcPr>
          <w:p w:rsidR="001210FC" w:rsidRPr="001210FC" w:rsidRDefault="001210FC" w:rsidP="008A2B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Flammable </w:t>
            </w:r>
            <w:r w:rsidR="008A2BDF">
              <w:rPr>
                <w:rFonts w:cs="Times New Roman"/>
                <w:color w:val="000000"/>
                <w:sz w:val="24"/>
                <w:szCs w:val="24"/>
              </w:rPr>
              <w:t>g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ases, </w:t>
            </w:r>
            <w:r w:rsidR="008A2BDF">
              <w:rPr>
                <w:rFonts w:cs="Times New Roman"/>
                <w:color w:val="000000"/>
                <w:sz w:val="24"/>
                <w:szCs w:val="24"/>
              </w:rPr>
              <w:t>l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iquids or </w:t>
            </w:r>
            <w:r w:rsidR="008A2BDF"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olids </w:t>
            </w:r>
          </w:p>
        </w:tc>
        <w:tc>
          <w:tcPr>
            <w:tcW w:w="1530" w:type="dxa"/>
          </w:tcPr>
          <w:p w:rsidR="001210FC" w:rsidRPr="001210FC" w:rsidRDefault="001210FC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210FC" w:rsidRPr="001210FC" w:rsidRDefault="001210FC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210FC" w:rsidRPr="001210FC" w:rsidRDefault="001210FC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210FC" w:rsidRPr="001210FC" w:rsidTr="00A37BD9">
        <w:tc>
          <w:tcPr>
            <w:tcW w:w="3258" w:type="dxa"/>
          </w:tcPr>
          <w:p w:rsidR="001210FC" w:rsidRPr="001210FC" w:rsidRDefault="001210FC" w:rsidP="008A2B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Toxic and/or </w:t>
            </w:r>
            <w:r w:rsidR="008A2BDF"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orrosive </w:t>
            </w:r>
            <w:r w:rsidR="008A2BDF">
              <w:rPr>
                <w:rFonts w:cs="Times New Roman"/>
                <w:color w:val="000000"/>
                <w:sz w:val="24"/>
                <w:szCs w:val="24"/>
              </w:rPr>
              <w:t>g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>ases</w:t>
            </w:r>
            <w:r w:rsidR="008A2BDF">
              <w:rPr>
                <w:rFonts w:cs="Times New Roman"/>
                <w:color w:val="000000"/>
                <w:sz w:val="24"/>
                <w:szCs w:val="24"/>
              </w:rPr>
              <w:t>, liquids or solids</w:t>
            </w:r>
          </w:p>
        </w:tc>
        <w:tc>
          <w:tcPr>
            <w:tcW w:w="1530" w:type="dxa"/>
          </w:tcPr>
          <w:p w:rsidR="001210FC" w:rsidRPr="001210FC" w:rsidRDefault="001210FC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210FC" w:rsidRPr="001210FC" w:rsidRDefault="001210FC" w:rsidP="00BE23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210FC" w:rsidRPr="001210FC" w:rsidRDefault="001210FC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8A2B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Oxidant gases, liquids or solids</w:t>
            </w:r>
          </w:p>
        </w:tc>
        <w:tc>
          <w:tcPr>
            <w:tcW w:w="1530" w:type="dxa"/>
          </w:tcPr>
          <w:p w:rsidR="008A2BDF" w:rsidRDefault="008A2BDF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High temperature liquid metal </w:t>
            </w:r>
          </w:p>
        </w:tc>
        <w:tc>
          <w:tcPr>
            <w:tcW w:w="1530" w:type="dxa"/>
          </w:tcPr>
          <w:p w:rsidR="008A2BDF" w:rsidRPr="001210FC" w:rsidRDefault="008A2BDF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8A2B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High or </w:t>
            </w:r>
            <w:r>
              <w:rPr>
                <w:rFonts w:cs="Times New Roman"/>
                <w:color w:val="000000"/>
                <w:sz w:val="24"/>
                <w:szCs w:val="24"/>
              </w:rPr>
              <w:t>l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ow Temperatures </w:t>
            </w:r>
          </w:p>
        </w:tc>
        <w:tc>
          <w:tcPr>
            <w:tcW w:w="1530" w:type="dxa"/>
          </w:tcPr>
          <w:p w:rsidR="008A2BDF" w:rsidRPr="001210FC" w:rsidRDefault="008A2BDF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8A2B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High </w:t>
            </w:r>
            <w:r>
              <w:rPr>
                <w:rFonts w:cs="Times New Roman"/>
                <w:color w:val="000000"/>
                <w:sz w:val="24"/>
                <w:szCs w:val="24"/>
              </w:rPr>
              <w:t>p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ressures or </w:t>
            </w:r>
            <w:r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educed </w:t>
            </w:r>
            <w:r>
              <w:rPr>
                <w:rFonts w:cs="Times New Roman"/>
                <w:color w:val="000000"/>
                <w:sz w:val="24"/>
                <w:szCs w:val="24"/>
              </w:rPr>
              <w:t>p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>ressures (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acuum) </w:t>
            </w:r>
          </w:p>
        </w:tc>
        <w:tc>
          <w:tcPr>
            <w:tcW w:w="1530" w:type="dxa"/>
          </w:tcPr>
          <w:p w:rsidR="008A2BDF" w:rsidRPr="001210FC" w:rsidRDefault="008A2BDF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8A2B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Electromagnetic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nterference or </w:t>
            </w:r>
            <w:r>
              <w:rPr>
                <w:rFonts w:cs="Times New Roman"/>
                <w:color w:val="000000"/>
                <w:sz w:val="24"/>
                <w:szCs w:val="24"/>
              </w:rPr>
              <w:t>h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igh </w:t>
            </w:r>
            <w:r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nergy </w:t>
            </w:r>
            <w:r>
              <w:rPr>
                <w:rFonts w:cs="Times New Roman"/>
                <w:color w:val="000000"/>
                <w:sz w:val="24"/>
                <w:szCs w:val="24"/>
              </w:rPr>
              <w:t>l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aser </w:t>
            </w:r>
          </w:p>
        </w:tc>
        <w:tc>
          <w:tcPr>
            <w:tcW w:w="1530" w:type="dxa"/>
          </w:tcPr>
          <w:p w:rsidR="008A2BDF" w:rsidRPr="001210FC" w:rsidRDefault="008A2BDF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493A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Steam </w:t>
            </w:r>
          </w:p>
        </w:tc>
        <w:tc>
          <w:tcPr>
            <w:tcW w:w="1530" w:type="dxa"/>
          </w:tcPr>
          <w:p w:rsidR="008A2BDF" w:rsidRPr="001210FC" w:rsidRDefault="008A2BDF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8A2B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Radioactive </w:t>
            </w: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ubstances </w:t>
            </w:r>
          </w:p>
        </w:tc>
        <w:tc>
          <w:tcPr>
            <w:tcW w:w="1530" w:type="dxa"/>
          </w:tcPr>
          <w:p w:rsidR="008A2BDF" w:rsidRPr="001210FC" w:rsidRDefault="008A2BDF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493A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Voltages &gt;115 V or Currents &gt;15 amps </w:t>
            </w:r>
          </w:p>
        </w:tc>
        <w:tc>
          <w:tcPr>
            <w:tcW w:w="1530" w:type="dxa"/>
          </w:tcPr>
          <w:p w:rsidR="008A2BDF" w:rsidRPr="001210FC" w:rsidRDefault="008A2BDF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8A2B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Pathogenic </w:t>
            </w:r>
            <w:r>
              <w:rPr>
                <w:rFonts w:cs="Times New Roman"/>
                <w:color w:val="000000"/>
                <w:sz w:val="24"/>
                <w:szCs w:val="24"/>
              </w:rPr>
              <w:t>o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rganisms </w:t>
            </w:r>
          </w:p>
        </w:tc>
        <w:tc>
          <w:tcPr>
            <w:tcW w:w="1530" w:type="dxa"/>
          </w:tcPr>
          <w:p w:rsidR="008A2BDF" w:rsidRPr="001210FC" w:rsidRDefault="008A2BDF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8A2B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High </w:t>
            </w: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peed </w:t>
            </w:r>
            <w:r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otating Machinery </w:t>
            </w:r>
          </w:p>
        </w:tc>
        <w:tc>
          <w:tcPr>
            <w:tcW w:w="1530" w:type="dxa"/>
          </w:tcPr>
          <w:p w:rsidR="008A2BDF" w:rsidRPr="001210FC" w:rsidRDefault="008A2BDF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8A2B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Dangerous </w:t>
            </w:r>
            <w:r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hemical </w:t>
            </w:r>
            <w:r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eactions </w:t>
            </w:r>
          </w:p>
        </w:tc>
        <w:tc>
          <w:tcPr>
            <w:tcW w:w="1530" w:type="dxa"/>
          </w:tcPr>
          <w:p w:rsidR="008A2BDF" w:rsidRPr="001210FC" w:rsidRDefault="008A2BDF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A2BDF" w:rsidRPr="001210FC" w:rsidTr="00A37BD9">
        <w:tc>
          <w:tcPr>
            <w:tcW w:w="3258" w:type="dxa"/>
          </w:tcPr>
          <w:p w:rsidR="008A2BDF" w:rsidRPr="001210FC" w:rsidRDefault="008A2BDF" w:rsidP="008A2B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Other </w:t>
            </w:r>
            <w:r>
              <w:rPr>
                <w:rFonts w:cs="Times New Roman"/>
                <w:color w:val="000000"/>
                <w:sz w:val="24"/>
                <w:szCs w:val="24"/>
              </w:rPr>
              <w:t>h</w:t>
            </w:r>
            <w:r w:rsidRPr="001210FC">
              <w:rPr>
                <w:rFonts w:cs="Times New Roman"/>
                <w:color w:val="000000"/>
                <w:sz w:val="24"/>
                <w:szCs w:val="24"/>
              </w:rPr>
              <w:t xml:space="preserve">azards </w:t>
            </w:r>
          </w:p>
        </w:tc>
        <w:tc>
          <w:tcPr>
            <w:tcW w:w="1530" w:type="dxa"/>
          </w:tcPr>
          <w:p w:rsidR="008A2BDF" w:rsidRPr="001210FC" w:rsidRDefault="008A2BDF" w:rsidP="00B32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2BDF" w:rsidRPr="001210FC" w:rsidRDefault="008A2BDF" w:rsidP="001210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1210FC" w:rsidRPr="001210FC" w:rsidRDefault="001210FC" w:rsidP="00121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A2BDF" w:rsidRDefault="008A2BDF" w:rsidP="008A2BDF">
      <w:pPr>
        <w:pStyle w:val="ListParagraph"/>
        <w:rPr>
          <w:b/>
          <w:sz w:val="24"/>
          <w:szCs w:val="24"/>
        </w:rPr>
      </w:pPr>
    </w:p>
    <w:p w:rsidR="008A2BDF" w:rsidRDefault="008A2BDF" w:rsidP="008A2BDF">
      <w:pPr>
        <w:pStyle w:val="ListParagraph"/>
        <w:rPr>
          <w:b/>
          <w:sz w:val="24"/>
          <w:szCs w:val="24"/>
        </w:rPr>
      </w:pPr>
    </w:p>
    <w:p w:rsidR="00BC3E8F" w:rsidRDefault="00BC3E8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A2BDF" w:rsidRDefault="008A2BDF" w:rsidP="008A2BDF">
      <w:pPr>
        <w:pStyle w:val="ListParagraph"/>
        <w:rPr>
          <w:b/>
          <w:sz w:val="24"/>
          <w:szCs w:val="24"/>
        </w:rPr>
      </w:pPr>
    </w:p>
    <w:p w:rsidR="008A2BDF" w:rsidRPr="00BC3E8F" w:rsidRDefault="008A2BDF" w:rsidP="008A2BD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C3E8F">
        <w:rPr>
          <w:b/>
          <w:sz w:val="24"/>
          <w:szCs w:val="24"/>
          <w:u w:val="single"/>
        </w:rPr>
        <w:t>ASSESS the risk and CONTROL the hazard</w:t>
      </w:r>
    </w:p>
    <w:p w:rsidR="008A2BDF" w:rsidRDefault="001E6F38" w:rsidP="008A2B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</w:t>
      </w:r>
      <w:r w:rsidR="008A2BDF" w:rsidRPr="008A2BDF">
        <w:rPr>
          <w:sz w:val="24"/>
          <w:szCs w:val="24"/>
        </w:rPr>
        <w:t xml:space="preserve"> each of the risks </w:t>
      </w:r>
      <w:r w:rsidR="008A2BDF">
        <w:rPr>
          <w:sz w:val="24"/>
          <w:szCs w:val="24"/>
        </w:rPr>
        <w:t>checked</w:t>
      </w:r>
      <w:r w:rsidR="008A2BDF" w:rsidRPr="008A2BDF">
        <w:rPr>
          <w:sz w:val="24"/>
          <w:szCs w:val="24"/>
        </w:rPr>
        <w:t xml:space="preserve"> above as either moderate or severe, </w:t>
      </w:r>
      <w:r>
        <w:rPr>
          <w:sz w:val="24"/>
          <w:szCs w:val="24"/>
        </w:rPr>
        <w:t>e</w:t>
      </w:r>
      <w:r w:rsidR="008A2BDF" w:rsidRPr="008A2BDF">
        <w:rPr>
          <w:sz w:val="24"/>
          <w:szCs w:val="24"/>
        </w:rPr>
        <w:t xml:space="preserve">xplain the potential </w:t>
      </w:r>
      <w:r w:rsidR="008A2BDF">
        <w:rPr>
          <w:sz w:val="24"/>
          <w:szCs w:val="24"/>
        </w:rPr>
        <w:t>bad consequences</w:t>
      </w:r>
      <w:r>
        <w:rPr>
          <w:sz w:val="24"/>
          <w:szCs w:val="24"/>
        </w:rPr>
        <w:t xml:space="preserve"> and explain the measure you have used to control them. If you describe something related to a hazardous material, explain also where you store and how you dispose of the material.</w:t>
      </w:r>
    </w:p>
    <w:p w:rsidR="008A2BDF" w:rsidRDefault="001E6F38" w:rsidP="008A2B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(see first line as an example)</w:t>
      </w:r>
    </w:p>
    <w:p w:rsidR="008A2BDF" w:rsidRDefault="008A2BDF" w:rsidP="008A2BDF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2204"/>
        <w:gridCol w:w="2415"/>
        <w:gridCol w:w="2009"/>
        <w:gridCol w:w="1726"/>
      </w:tblGrid>
      <w:tr w:rsidR="001E6F38" w:rsidRPr="001210FC" w:rsidTr="001E6F38">
        <w:tc>
          <w:tcPr>
            <w:tcW w:w="1222" w:type="dxa"/>
          </w:tcPr>
          <w:p w:rsidR="001E6F38" w:rsidRPr="001210FC" w:rsidRDefault="001E6F38" w:rsidP="001E6F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Risk</w:t>
            </w:r>
          </w:p>
        </w:tc>
        <w:tc>
          <w:tcPr>
            <w:tcW w:w="2204" w:type="dxa"/>
          </w:tcPr>
          <w:p w:rsidR="001E6F38" w:rsidRPr="001210FC" w:rsidRDefault="001E6F38" w:rsidP="001E6F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Description of risk </w:t>
            </w:r>
          </w:p>
        </w:tc>
        <w:tc>
          <w:tcPr>
            <w:tcW w:w="2415" w:type="dxa"/>
          </w:tcPr>
          <w:p w:rsidR="001E6F38" w:rsidRPr="001210FC" w:rsidRDefault="001E6F38" w:rsidP="001E6F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Associated hazards</w:t>
            </w: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Actions taken to control risk</w:t>
            </w:r>
          </w:p>
        </w:tc>
        <w:tc>
          <w:tcPr>
            <w:tcW w:w="1726" w:type="dxa"/>
          </w:tcPr>
          <w:p w:rsidR="001E6F38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Storage and disposal</w:t>
            </w: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Corrosive liquid</w:t>
            </w:r>
          </w:p>
        </w:tc>
        <w:tc>
          <w:tcPr>
            <w:tcW w:w="2204" w:type="dxa"/>
          </w:tcPr>
          <w:p w:rsidR="001E6F38" w:rsidRPr="001210FC" w:rsidRDefault="001E6F38" w:rsidP="001E6F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Use concentrated HCl when preparing HCl 0.1 M solution</w:t>
            </w:r>
          </w:p>
        </w:tc>
        <w:tc>
          <w:tcPr>
            <w:tcW w:w="2415" w:type="dxa"/>
          </w:tcPr>
          <w:p w:rsidR="001E6F38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Burns from exposure to concentrated HCl on skin, or through vapors; highly reactive with water and bases.</w:t>
            </w:r>
          </w:p>
          <w:p w:rsidR="001E6F38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Work under fume hood</w:t>
            </w:r>
          </w:p>
          <w:p w:rsidR="001E6F38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Wear gloves, lab coats, goggles</w:t>
            </w:r>
          </w:p>
          <w:p w:rsidR="001E6F38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Appropriate storage and disposal</w:t>
            </w:r>
          </w:p>
          <w:p w:rsidR="001E6F38" w:rsidRPr="001210FC" w:rsidRDefault="001E6F38" w:rsidP="001E6F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Careful handling of container</w:t>
            </w:r>
          </w:p>
        </w:tc>
        <w:tc>
          <w:tcPr>
            <w:tcW w:w="1726" w:type="dxa"/>
          </w:tcPr>
          <w:p w:rsidR="001E6F38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Store with acids in ventilated cabinets under fume hood</w:t>
            </w:r>
          </w:p>
          <w:p w:rsidR="001E6F38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Dispose in acid container after dilution</w:t>
            </w: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E6F38" w:rsidRPr="001210FC" w:rsidTr="001E6F38">
        <w:tc>
          <w:tcPr>
            <w:tcW w:w="1222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6F38" w:rsidRPr="001210FC" w:rsidRDefault="001E6F38" w:rsidP="00B34F0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8A2BDF" w:rsidRDefault="008A2BDF" w:rsidP="008A2BDF">
      <w:pPr>
        <w:pStyle w:val="ListParagraph"/>
        <w:rPr>
          <w:sz w:val="24"/>
          <w:szCs w:val="24"/>
        </w:rPr>
      </w:pPr>
    </w:p>
    <w:p w:rsidR="008A2BDF" w:rsidRPr="00BC3E8F" w:rsidRDefault="001E6F38" w:rsidP="001E6F3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C3E8F">
        <w:rPr>
          <w:b/>
          <w:sz w:val="24"/>
          <w:szCs w:val="24"/>
          <w:u w:val="single"/>
        </w:rPr>
        <w:t>KEEP safety first in all tasks</w:t>
      </w:r>
    </w:p>
    <w:p w:rsidR="001E6F38" w:rsidRDefault="00A37BD9" w:rsidP="001E6F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Keep this form in your lab notebook and have it handy when you do your experiment.</w:t>
      </w:r>
      <w:r w:rsidR="001E6F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Put in action the safety measures you have planned on. </w:t>
      </w:r>
      <w:r w:rsidR="001E6F38">
        <w:rPr>
          <w:sz w:val="24"/>
          <w:szCs w:val="24"/>
        </w:rPr>
        <w:t>Fill another form if you are starting a new series of experiments.</w:t>
      </w:r>
      <w:r>
        <w:rPr>
          <w:sz w:val="24"/>
          <w:szCs w:val="24"/>
        </w:rPr>
        <w:t xml:space="preserve"> </w:t>
      </w:r>
    </w:p>
    <w:p w:rsidR="00A37BD9" w:rsidRPr="00A37BD9" w:rsidRDefault="00A37BD9" w:rsidP="00A37BD9">
      <w:pPr>
        <w:pStyle w:val="ListParagraph"/>
        <w:rPr>
          <w:b/>
          <w:sz w:val="24"/>
          <w:szCs w:val="24"/>
        </w:rPr>
      </w:pPr>
      <w:r w:rsidRPr="00A37BD9">
        <w:rPr>
          <w:b/>
          <w:sz w:val="24"/>
          <w:szCs w:val="24"/>
        </w:rPr>
        <w:t>Show this form to your supervisor and have him/her challenge you</w:t>
      </w:r>
      <w:r>
        <w:rPr>
          <w:b/>
          <w:sz w:val="24"/>
          <w:szCs w:val="24"/>
        </w:rPr>
        <w:t xml:space="preserve"> on what you have written here</w:t>
      </w:r>
      <w:r w:rsidRPr="00A37BD9">
        <w:rPr>
          <w:b/>
          <w:sz w:val="24"/>
          <w:szCs w:val="24"/>
        </w:rPr>
        <w:t>!</w:t>
      </w:r>
    </w:p>
    <w:p w:rsidR="00A37BD9" w:rsidRPr="00A37BD9" w:rsidRDefault="00A37BD9" w:rsidP="001E6F38">
      <w:pPr>
        <w:pStyle w:val="ListParagraph"/>
        <w:rPr>
          <w:b/>
          <w:sz w:val="24"/>
          <w:szCs w:val="24"/>
        </w:rPr>
      </w:pPr>
    </w:p>
    <w:sectPr w:rsidR="00A37BD9" w:rsidRPr="00A37BD9" w:rsidSect="00BC3E8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20F4"/>
    <w:multiLevelType w:val="hybridMultilevel"/>
    <w:tmpl w:val="FC9A5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2"/>
    <w:rsid w:val="000838D5"/>
    <w:rsid w:val="000D16B5"/>
    <w:rsid w:val="001210FC"/>
    <w:rsid w:val="001E6F38"/>
    <w:rsid w:val="00371BDE"/>
    <w:rsid w:val="00391520"/>
    <w:rsid w:val="0042439B"/>
    <w:rsid w:val="00426E38"/>
    <w:rsid w:val="00475234"/>
    <w:rsid w:val="00475BF5"/>
    <w:rsid w:val="0052171D"/>
    <w:rsid w:val="0057142D"/>
    <w:rsid w:val="007374B9"/>
    <w:rsid w:val="007F41D2"/>
    <w:rsid w:val="00875E5C"/>
    <w:rsid w:val="008A2BDF"/>
    <w:rsid w:val="00957AF3"/>
    <w:rsid w:val="00992CA6"/>
    <w:rsid w:val="009F3191"/>
    <w:rsid w:val="00A37BD9"/>
    <w:rsid w:val="00B3247D"/>
    <w:rsid w:val="00B3692F"/>
    <w:rsid w:val="00BC3E8F"/>
    <w:rsid w:val="00BE23C0"/>
    <w:rsid w:val="00E35683"/>
    <w:rsid w:val="00FB44AB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1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8D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2BDF"/>
    <w:pPr>
      <w:ind w:left="720"/>
      <w:contextualSpacing/>
    </w:pPr>
  </w:style>
  <w:style w:type="paragraph" w:styleId="PlainText">
    <w:name w:val="Plain Text"/>
    <w:basedOn w:val="Normal"/>
    <w:link w:val="PlainTextChar"/>
    <w:rsid w:val="00BC3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C3E8F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1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8D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2BDF"/>
    <w:pPr>
      <w:ind w:left="720"/>
      <w:contextualSpacing/>
    </w:pPr>
  </w:style>
  <w:style w:type="paragraph" w:styleId="PlainText">
    <w:name w:val="Plain Text"/>
    <w:basedOn w:val="Normal"/>
    <w:link w:val="PlainTextChar"/>
    <w:rsid w:val="00BC3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C3E8F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Teresa Barrett</cp:lastModifiedBy>
  <cp:revision>2</cp:revision>
  <dcterms:created xsi:type="dcterms:W3CDTF">2015-10-02T14:11:00Z</dcterms:created>
  <dcterms:modified xsi:type="dcterms:W3CDTF">2015-10-02T14:11:00Z</dcterms:modified>
</cp:coreProperties>
</file>